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b w:val="1"/>
          <w:bCs w:val="1"/>
          <w:rtl w:val="0"/>
        </w:rPr>
        <w:t xml:space="preserve">FOR IMMEDIATE RELEASE</w:t>
      </w:r>
      <w:r w:rsidDel="00000000" w:rsidR="00000000" w:rsidRPr="00000000">
        <w:rPr>
          <w:rtl w:val="0"/>
        </w:rPr>
        <w:t xml:space="preserve">: December</w:t>
      </w:r>
      <w:r w:rsidDel="00000000" w:rsidR="00000000" w:rsidRPr="00000000">
        <w:rPr>
          <w:highlight w:val="yellow"/>
          <w:rtl w:val="0"/>
        </w:rPr>
        <w:t xml:space="preserve"> ##</w:t>
      </w:r>
      <w:r w:rsidDel="00000000" w:rsidR="00000000" w:rsidRPr="00000000">
        <w:rPr>
          <w:rtl w:val="0"/>
        </w:rPr>
        <w:t xml:space="preserve">, 2025</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Contact: </w:t>
      </w:r>
      <w:r w:rsidDel="00000000" w:rsidR="00000000" w:rsidRPr="00000000">
        <w:rPr>
          <w:highlight w:val="yellow"/>
          <w:rtl w:val="0"/>
        </w:rPr>
        <w:t xml:space="preserve">NACBA CONTACT</w:t>
      </w:r>
      <w:r w:rsidDel="00000000" w:rsidR="00000000" w:rsidRPr="00000000">
        <w:rPr>
          <w:rtl w:val="0"/>
        </w:rPr>
        <w:t xml:space="preserve">; </w:t>
      </w:r>
      <w:r w:rsidDel="00000000" w:rsidR="00000000" w:rsidRPr="00000000">
        <w:rPr>
          <w:highlight w:val="yellow"/>
          <w:rtl w:val="0"/>
        </w:rPr>
        <w:t xml:space="preserve">MDC CONTACT</w:t>
      </w:r>
      <w:r w:rsidDel="00000000" w:rsidR="00000000" w:rsidRPr="00000000">
        <w:rPr>
          <w:rtl w:val="0"/>
        </w:rPr>
        <w:t xml:space="preserve">; National Consumer Law Center, Stephen Rouzer (</w:t>
      </w:r>
      <w:hyperlink r:id="rId7">
        <w:r w:rsidDel="00000000" w:rsidR="00000000" w:rsidRPr="00000000">
          <w:rPr>
            <w:color w:val="1155cc"/>
            <w:u w:val="single"/>
            <w:rtl w:val="0"/>
          </w:rPr>
          <w:t xml:space="preserve">srouzer@nclc.org</w:t>
        </w:r>
      </w:hyperlink>
      <w:r w:rsidDel="00000000" w:rsidR="00000000" w:rsidRPr="00000000">
        <w:rPr>
          <w:rtl w:val="0"/>
        </w:rPr>
        <w:t xml:space="preserve">)</w:t>
      </w:r>
    </w:p>
    <w:p w:rsidR="00000000" w:rsidDel="00000000" w:rsidP="00000000" w:rsidRDefault="00000000" w:rsidRPr="00000000" w14:paraId="00000003">
      <w:pPr>
        <w:spacing w:after="240" w:before="240" w:lineRule="auto"/>
        <w:jc w:val="center"/>
        <w:rPr>
          <w:b w:val="1"/>
          <w:bCs w:val="1"/>
          <w:sz w:val="28"/>
          <w:szCs w:val="28"/>
        </w:rPr>
      </w:pPr>
      <w:r w:rsidDel="00000000" w:rsidR="00000000" w:rsidRPr="00000000">
        <w:rPr>
          <w:b w:val="1"/>
          <w:bCs w:val="1"/>
          <w:sz w:val="28"/>
          <w:szCs w:val="28"/>
          <w:rtl w:val="0"/>
        </w:rPr>
        <w:t xml:space="preserve">Report: </w:t>
      </w:r>
      <w:r w:rsidDel="00000000" w:rsidR="00000000" w:rsidRPr="00000000">
        <w:rPr>
          <w:b w:val="1"/>
          <w:bCs w:val="1"/>
          <w:sz w:val="28"/>
          <w:szCs w:val="28"/>
          <w:rtl w:val="0"/>
        </w:rPr>
        <w:t xml:space="preserve">North Carolina Receives ‘C’</w:t>
      </w:r>
      <w:r w:rsidDel="00000000" w:rsidR="00000000" w:rsidRPr="00000000">
        <w:rPr>
          <w:b w:val="1"/>
          <w:bCs w:val="1"/>
          <w:sz w:val="28"/>
          <w:szCs w:val="28"/>
          <w:rtl w:val="0"/>
        </w:rPr>
        <w:t xml:space="preserve"> Grade in Analysis of State Laws to Protect Families from Wage and Asset Seizures</w:t>
      </w:r>
    </w:p>
    <w:p w:rsidR="00000000" w:rsidDel="00000000" w:rsidP="00000000" w:rsidRDefault="00000000" w:rsidRPr="00000000" w14:paraId="00000004">
      <w:pPr>
        <w:spacing w:after="240" w:before="240" w:lineRule="auto"/>
        <w:jc w:val="center"/>
        <w:rPr>
          <w:i w:val="1"/>
          <w:iCs w:val="1"/>
          <w:sz w:val="24"/>
          <w:szCs w:val="24"/>
        </w:rPr>
      </w:pPr>
      <w:r w:rsidDel="00000000" w:rsidR="00000000" w:rsidRPr="00000000">
        <w:rPr>
          <w:i w:val="1"/>
          <w:iCs w:val="1"/>
          <w:sz w:val="24"/>
          <w:szCs w:val="24"/>
          <w:rtl w:val="0"/>
        </w:rPr>
        <w:t xml:space="preserve"> North Carolina Laws </w:t>
      </w:r>
      <w:commentRangeStart w:id="0"/>
      <w:r w:rsidDel="00000000" w:rsidR="00000000" w:rsidRPr="00000000">
        <w:rPr>
          <w:i w:val="1"/>
          <w:iCs w:val="1"/>
          <w:sz w:val="24"/>
          <w:szCs w:val="24"/>
          <w:rtl w:val="0"/>
        </w:rPr>
        <w:t xml:space="preserve">Adequately Protect Wages</w:t>
      </w:r>
      <w:commentRangeEnd w:id="0"/>
      <w:r w:rsidDel="00000000" w:rsidR="00000000" w:rsidRPr="00000000">
        <w:commentReference w:id="0"/>
      </w:r>
      <w:r w:rsidDel="00000000" w:rsidR="00000000" w:rsidRPr="00000000">
        <w:rPr>
          <w:i w:val="1"/>
          <w:iCs w:val="1"/>
          <w:sz w:val="24"/>
          <w:szCs w:val="24"/>
          <w:rtl w:val="0"/>
        </w:rPr>
        <w:t xml:space="preserve">, Fall Short of Protecting Family Homes, Vehicles, and Bank Accounts</w:t>
      </w:r>
      <w:r w:rsidDel="00000000" w:rsidR="00000000" w:rsidRPr="00000000">
        <w:rPr>
          <w:i w:val="1"/>
          <w:iCs w:val="1"/>
          <w:sz w:val="24"/>
          <w:szCs w:val="24"/>
          <w:rtl w:val="0"/>
        </w:rPr>
        <w:t xml:space="preserve"> </w:t>
      </w:r>
    </w:p>
    <w:p w:rsidR="00000000" w:rsidDel="00000000" w:rsidP="00000000" w:rsidRDefault="00000000" w:rsidRPr="00000000" w14:paraId="00000005">
      <w:pPr>
        <w:spacing w:after="240" w:before="240" w:lineRule="auto"/>
        <w:rPr/>
      </w:pPr>
      <w:r w:rsidDel="00000000" w:rsidR="00000000" w:rsidRPr="00000000">
        <w:rPr>
          <w:rtl w:val="0"/>
        </w:rPr>
        <w:t xml:space="preserve">WASHINGTON –  During an affordability crisis, families across the nation are reeling from high inflation, record debt, and a surge in debt collection lawsuits. State exemption laws can provide a critical safeguard. But a new National Consumer Law Center (NCLC) report finds that </w:t>
      </w:r>
      <w:r w:rsidDel="00000000" w:rsidR="00000000" w:rsidRPr="00000000">
        <w:rPr>
          <w:rtl w:val="0"/>
        </w:rPr>
        <w:t xml:space="preserve">North Carolina manages to meet just one of five basic standards for consumer protection.</w:t>
      </w:r>
    </w:p>
    <w:p w:rsidR="00000000" w:rsidDel="00000000" w:rsidP="00000000" w:rsidRDefault="00000000" w:rsidRPr="00000000" w14:paraId="00000006">
      <w:pPr>
        <w:spacing w:after="240" w:before="240" w:lineRule="auto"/>
        <w:rPr/>
      </w:pPr>
      <w:r w:rsidDel="00000000" w:rsidR="00000000" w:rsidRPr="00000000">
        <w:rPr>
          <w:i w:val="1"/>
          <w:iCs w:val="1"/>
          <w:rtl w:val="0"/>
        </w:rPr>
        <w:t xml:space="preserve">No Fresh Start 2025: Will States Protect Families from Wage and Asset Seizures as Debt Levels Soar?</w:t>
      </w:r>
      <w:r w:rsidDel="00000000" w:rsidR="00000000" w:rsidRPr="00000000">
        <w:rPr>
          <w:rtl w:val="0"/>
        </w:rPr>
        <w:t xml:space="preserve"> grades each state on its exemption laws, which protect income and property from seizure by creditors, debt buyers, and the debt collectors they hire.</w:t>
      </w:r>
    </w:p>
    <w:p w:rsidR="00000000" w:rsidDel="00000000" w:rsidP="00000000" w:rsidRDefault="00000000" w:rsidRPr="00000000" w14:paraId="00000007">
      <w:pPr>
        <w:spacing w:after="240" w:before="240" w:lineRule="auto"/>
        <w:rPr/>
      </w:pPr>
      <w:r w:rsidDel="00000000" w:rsidR="00000000" w:rsidRPr="00000000">
        <w:rPr>
          <w:color w:val="222222"/>
          <w:highlight w:val="white"/>
          <w:rtl w:val="0"/>
        </w:rPr>
        <w:t xml:space="preserve">“The protections against wage garnishment often mean little if a family’s bank account can be drained the moment that paycheck hits,” said </w:t>
      </w:r>
      <w:r w:rsidDel="00000000" w:rsidR="00000000" w:rsidRPr="00000000">
        <w:rPr>
          <w:b w:val="1"/>
          <w:bCs w:val="1"/>
          <w:color w:val="222222"/>
          <w:highlight w:val="white"/>
          <w:rtl w:val="0"/>
        </w:rPr>
        <w:t xml:space="preserve">Ed Boltz of the National Association of Consumer Bankruptcy Attorneys</w:t>
      </w:r>
      <w:r w:rsidDel="00000000" w:rsidR="00000000" w:rsidRPr="00000000">
        <w:rPr>
          <w:color w:val="222222"/>
          <w:highlight w:val="white"/>
          <w:rtl w:val="0"/>
        </w:rPr>
        <w:t xml:space="preserve">. “North Carolina law leaves working families exposed when it comes to their cars, their homes, and the savings they rely on to pay rent and utilities. Real protection requires following wages all the way through—to the assets families need to stay housed, employed, and financially stable.”  </w:t>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North Carolina</w:t>
      </w:r>
      <w:r w:rsidDel="00000000" w:rsidR="00000000" w:rsidRPr="00000000">
        <w:rPr>
          <w:rtl w:val="0"/>
        </w:rPr>
        <w:t xml:space="preserve"> is not alone. NCLC’s annual survey of exemption laws in the 50 states, District of Columbia, Puerto Rico, and the Virgin Islands finds that not one jurisdiction meets five basic standards:  </w:t>
      </w:r>
    </w:p>
    <w:p w:rsidR="00000000" w:rsidDel="00000000" w:rsidP="00000000" w:rsidRDefault="00000000" w:rsidRPr="00000000" w14:paraId="00000009">
      <w:pPr>
        <w:numPr>
          <w:ilvl w:val="0"/>
          <w:numId w:val="1"/>
        </w:numPr>
        <w:spacing w:after="0" w:afterAutospacing="0" w:before="240" w:lineRule="auto"/>
        <w:ind w:left="720" w:hanging="360"/>
        <w:rPr/>
      </w:pPr>
      <w:r w:rsidDel="00000000" w:rsidR="00000000" w:rsidRPr="00000000">
        <w:rPr>
          <w:rtl w:val="0"/>
        </w:rPr>
        <w:t xml:space="preserve">Preventing creditors from seizing so much of the debtor’s wages that the debtor is pushed below a living wage; </w:t>
      </w:r>
    </w:p>
    <w:p w:rsidR="00000000" w:rsidDel="00000000" w:rsidP="00000000" w:rsidRDefault="00000000" w:rsidRPr="00000000" w14:paraId="0000000A">
      <w:pPr>
        <w:numPr>
          <w:ilvl w:val="0"/>
          <w:numId w:val="1"/>
        </w:numPr>
        <w:spacing w:after="0" w:afterAutospacing="0" w:before="0" w:beforeAutospacing="0" w:lineRule="auto"/>
        <w:ind w:left="720" w:hanging="360"/>
        <w:rPr/>
      </w:pPr>
      <w:r w:rsidDel="00000000" w:rsidR="00000000" w:rsidRPr="00000000">
        <w:rPr>
          <w:rtl w:val="0"/>
        </w:rPr>
        <w:t xml:space="preserve">Allowing the debtor to keep a used car of at least average value; </w:t>
      </w:r>
    </w:p>
    <w:p w:rsidR="00000000" w:rsidDel="00000000" w:rsidP="00000000" w:rsidRDefault="00000000" w:rsidRPr="00000000" w14:paraId="0000000B">
      <w:pPr>
        <w:numPr>
          <w:ilvl w:val="0"/>
          <w:numId w:val="1"/>
        </w:numPr>
        <w:spacing w:after="0" w:afterAutospacing="0" w:before="0" w:beforeAutospacing="0" w:lineRule="auto"/>
        <w:ind w:left="720" w:hanging="360"/>
        <w:rPr/>
      </w:pPr>
      <w:r w:rsidDel="00000000" w:rsidR="00000000" w:rsidRPr="00000000">
        <w:rPr>
          <w:rtl w:val="0"/>
        </w:rPr>
        <w:t xml:space="preserve">Preserving the family’s home—at least a median-value home;</w:t>
      </w:r>
    </w:p>
    <w:p w:rsidR="00000000" w:rsidDel="00000000" w:rsidP="00000000" w:rsidRDefault="00000000" w:rsidRPr="00000000" w14:paraId="0000000C">
      <w:pPr>
        <w:numPr>
          <w:ilvl w:val="0"/>
          <w:numId w:val="1"/>
        </w:numPr>
        <w:spacing w:after="0" w:afterAutospacing="0" w:before="0" w:beforeAutospacing="0" w:lineRule="auto"/>
        <w:ind w:left="720" w:hanging="360"/>
        <w:rPr/>
      </w:pPr>
      <w:r w:rsidDel="00000000" w:rsidR="00000000" w:rsidRPr="00000000">
        <w:rPr>
          <w:rtl w:val="0"/>
        </w:rPr>
        <w:t xml:space="preserve">Preserving a basic amount in a bank account so that the debtor’s funds to pay essential costs, such as rent, utilities, and commuting expenses, are not cleaned out; and </w:t>
      </w:r>
    </w:p>
    <w:p w:rsidR="00000000" w:rsidDel="00000000" w:rsidP="00000000" w:rsidRDefault="00000000" w:rsidRPr="00000000" w14:paraId="0000000D">
      <w:pPr>
        <w:numPr>
          <w:ilvl w:val="0"/>
          <w:numId w:val="1"/>
        </w:numPr>
        <w:spacing w:after="240" w:before="0" w:beforeAutospacing="0" w:lineRule="auto"/>
        <w:ind w:left="720" w:hanging="360"/>
        <w:rPr/>
      </w:pPr>
      <w:r w:rsidDel="00000000" w:rsidR="00000000" w:rsidRPr="00000000">
        <w:rPr>
          <w:rtl w:val="0"/>
        </w:rPr>
        <w:t xml:space="preserve">Preventing seizure and sale of the debtor’s necessary household goods. </w:t>
      </w:r>
    </w:p>
    <w:p w:rsidR="00000000" w:rsidDel="00000000" w:rsidP="00000000" w:rsidRDefault="00000000" w:rsidRPr="00000000" w14:paraId="0000000E">
      <w:pPr>
        <w:spacing w:after="240" w:before="240" w:lineRule="auto"/>
        <w:rPr/>
      </w:pPr>
      <w:r w:rsidDel="00000000" w:rsidR="00000000" w:rsidRPr="00000000">
        <w:rPr>
          <w:rtl w:val="0"/>
        </w:rPr>
        <w:t xml:space="preserve">"When a family’s bank account gets frozen or a car gets seized, it is not just a financial setback—it is kids missing meals, families falling behind on rent, and parents losing the reliable transportation they need to keep working. And because debt collection and wage seizure fall disproportionately on Black and Latino families, weak protections don’t just reflect the racial wealth gap, they can deepen it,” said </w:t>
      </w:r>
      <w:r w:rsidDel="00000000" w:rsidR="00000000" w:rsidRPr="00000000">
        <w:rPr>
          <w:b w:val="1"/>
          <w:bCs w:val="1"/>
          <w:rtl w:val="0"/>
        </w:rPr>
        <w:t xml:space="preserve">Jenna Bryant</w:t>
      </w:r>
      <w:r w:rsidDel="00000000" w:rsidR="00000000" w:rsidRPr="00000000">
        <w:rPr>
          <w:rtl w:val="0"/>
        </w:rPr>
        <w:t xml:space="preserve">, senior program director for economic security and mobility at MDC Updating North Carolina’s exemption laws is a practical step to keep families housed, keep workers in the workforce, and keep more dollars circulating in local communities—so our economy, and our children, aren’t paying the price for a system that strips families of their last layer of security.”</w:t>
      </w:r>
    </w:p>
    <w:p w:rsidR="00000000" w:rsidDel="00000000" w:rsidP="00000000" w:rsidRDefault="00000000" w:rsidRPr="00000000" w14:paraId="0000000F">
      <w:pPr>
        <w:spacing w:after="240" w:before="240" w:lineRule="auto"/>
        <w:rPr/>
      </w:pPr>
      <w:r w:rsidDel="00000000" w:rsidR="00000000" w:rsidRPr="00000000">
        <w:rPr>
          <w:rtl w:val="0"/>
        </w:rPr>
        <w:t xml:space="preserve">The report details the extent to which states protect families in each of these five areas. It grades the states on each protection and determines each state’s overall average. </w:t>
      </w:r>
    </w:p>
    <w:p w:rsidR="00000000" w:rsidDel="00000000" w:rsidP="00000000" w:rsidRDefault="00000000" w:rsidRPr="00000000" w14:paraId="00000010">
      <w:pPr>
        <w:spacing w:after="240" w:before="240" w:lineRule="auto"/>
        <w:rPr/>
      </w:pPr>
      <w:r w:rsidDel="00000000" w:rsidR="00000000" w:rsidRPr="00000000">
        <w:rPr>
          <w:rtl w:val="0"/>
        </w:rPr>
        <w:t xml:space="preserve">While North Carolina law </w:t>
      </w:r>
      <w:commentRangeStart w:id="1"/>
      <w:r w:rsidDel="00000000" w:rsidR="00000000" w:rsidRPr="00000000">
        <w:rPr>
          <w:rtl w:val="0"/>
        </w:rPr>
        <w:t xml:space="preserve">exempts wages earned within the previous 60 days from seizure</w:t>
      </w:r>
      <w:commentRangeEnd w:id="1"/>
      <w:r w:rsidDel="00000000" w:rsidR="00000000" w:rsidRPr="00000000">
        <w:commentReference w:id="1"/>
      </w:r>
      <w:r w:rsidDel="00000000" w:rsidR="00000000" w:rsidRPr="00000000">
        <w:rPr>
          <w:rtl w:val="0"/>
        </w:rPr>
        <w:t xml:space="preserve">, it protects just 11% of the median home value in the state, and just $7500 for a vehicle, well below the average purchase price. </w:t>
      </w:r>
    </w:p>
    <w:p w:rsidR="00000000" w:rsidDel="00000000" w:rsidP="00000000" w:rsidRDefault="00000000" w:rsidRPr="00000000" w14:paraId="00000011">
      <w:pPr>
        <w:widowControl w:val="0"/>
        <w:spacing w:before="234" w:line="304" w:lineRule="auto"/>
        <w:rPr/>
      </w:pPr>
      <w:r w:rsidDel="00000000" w:rsidR="00000000" w:rsidRPr="00000000">
        <w:rPr>
          <w:rtl w:val="0"/>
        </w:rPr>
        <w:t xml:space="preserve">The report also looks at how the wealth divide creates a bigger debt burden for Black and Latino families. These communities are disproportionately burdened by debt and are disproportionately subject to judgments in </w:t>
      </w:r>
      <w:hyperlink r:id="rId8">
        <w:r w:rsidDel="00000000" w:rsidR="00000000" w:rsidRPr="00000000">
          <w:rPr>
            <w:color w:val="1155cc"/>
            <w:u w:val="single"/>
            <w:rtl w:val="0"/>
          </w:rPr>
          <w:t xml:space="preserve">collection lawsuits</w:t>
        </w:r>
      </w:hyperlink>
      <w:r w:rsidDel="00000000" w:rsidR="00000000" w:rsidRPr="00000000">
        <w:rPr>
          <w:rtl w:val="0"/>
        </w:rPr>
        <w:t xml:space="preserve"> and </w:t>
      </w:r>
      <w:hyperlink r:id="rId9">
        <w:r w:rsidDel="00000000" w:rsidR="00000000" w:rsidRPr="00000000">
          <w:rPr>
            <w:color w:val="1155cc"/>
            <w:u w:val="single"/>
            <w:rtl w:val="0"/>
          </w:rPr>
          <w:t xml:space="preserve">wage seizure</w:t>
        </w:r>
      </w:hyperlink>
      <w:r w:rsidDel="00000000" w:rsidR="00000000" w:rsidRPr="00000000">
        <w:rPr>
          <w:rtl w:val="0"/>
        </w:rPr>
        <w:t xml:space="preserve">. The growing wealth divide, the high volume of </w:t>
      </w:r>
      <w:hyperlink r:id="rId10">
        <w:r w:rsidDel="00000000" w:rsidR="00000000" w:rsidRPr="00000000">
          <w:rPr>
            <w:color w:val="1155cc"/>
            <w:u w:val="single"/>
            <w:rtl w:val="0"/>
          </w:rPr>
          <w:t xml:space="preserve">collection lawsuits</w:t>
        </w:r>
      </w:hyperlink>
      <w:r w:rsidDel="00000000" w:rsidR="00000000" w:rsidRPr="00000000">
        <w:rPr>
          <w:rtl w:val="0"/>
        </w:rPr>
        <w:t xml:space="preserve">, and the soaring costs of necessities are straining families to the breaking point. </w:t>
      </w:r>
    </w:p>
    <w:p w:rsidR="00000000" w:rsidDel="00000000" w:rsidP="00000000" w:rsidRDefault="00000000" w:rsidRPr="00000000" w14:paraId="00000012">
      <w:pPr>
        <w:widowControl w:val="0"/>
        <w:spacing w:before="234" w:line="304" w:lineRule="auto"/>
        <w:rPr/>
      </w:pPr>
      <w:r w:rsidDel="00000000" w:rsidR="00000000" w:rsidRPr="00000000">
        <w:rPr>
          <w:rtl w:val="0"/>
        </w:rPr>
        <w:t xml:space="preserve">“By updating their exemption laws, </w:t>
      </w:r>
      <w:r w:rsidDel="00000000" w:rsidR="00000000" w:rsidRPr="00000000">
        <w:rPr>
          <w:rtl w:val="0"/>
        </w:rPr>
        <w:t xml:space="preserve">North Carolina </w:t>
      </w:r>
      <w:r w:rsidDel="00000000" w:rsidR="00000000" w:rsidRPr="00000000">
        <w:rPr>
          <w:rtl w:val="0"/>
        </w:rPr>
        <w:t xml:space="preserve">lawmakers can prevent creditors and debt buyers from pushing  families into poverty,” said</w:t>
      </w:r>
      <w:r w:rsidDel="00000000" w:rsidR="00000000" w:rsidRPr="00000000">
        <w:rPr>
          <w:b w:val="1"/>
          <w:bCs w:val="1"/>
          <w:rtl w:val="0"/>
        </w:rPr>
        <w:t xml:space="preserve"> Michael Best, director of State Advocacy at the National Consumer Law Center and co-author of the report.</w:t>
      </w:r>
      <w:r w:rsidDel="00000000" w:rsidR="00000000" w:rsidRPr="00000000">
        <w:rPr>
          <w:rtl w:val="0"/>
        </w:rPr>
        <w:t xml:space="preserve"> “These protections help families regain their financial footing and contribute to the economy, keeping workers in the workforce, reducing the demand on funds for unemployment compensation and social services, and keeping money in local communities.”</w:t>
      </w:r>
    </w:p>
    <w:p w:rsidR="00000000" w:rsidDel="00000000" w:rsidP="00000000" w:rsidRDefault="00000000" w:rsidRPr="00000000" w14:paraId="00000013">
      <w:pPr>
        <w:widowControl w:val="0"/>
        <w:spacing w:before="234" w:line="304" w:lineRule="auto"/>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Related Resources</w:t>
      </w:r>
    </w:p>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highlight w:val="white"/>
        </w:rPr>
      </w:pPr>
      <w:hyperlink r:id="rId11">
        <w:r w:rsidDel="00000000" w:rsidR="00000000" w:rsidRPr="00000000">
          <w:rPr>
            <w:color w:val="1155cc"/>
            <w:highlight w:val="white"/>
            <w:u w:val="single"/>
            <w:rtl w:val="0"/>
          </w:rPr>
          <w:t xml:space="preserve">No Fresh Start 2024: Will States Protect Families from Debt Collectors Seizing Wages and Bank Balances?</w:t>
        </w:r>
      </w:hyperlink>
      <w:r w:rsidDel="00000000" w:rsidR="00000000" w:rsidRPr="00000000">
        <w:rPr>
          <w:rtl w:val="0"/>
        </w:rPr>
      </w:r>
    </w:p>
    <w:p w:rsidR="00000000" w:rsidDel="00000000" w:rsidP="00000000" w:rsidRDefault="00000000" w:rsidRPr="00000000" w14:paraId="00000017">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pPr>
      <w:hyperlink r:id="rId12">
        <w:r w:rsidDel="00000000" w:rsidR="00000000" w:rsidRPr="00000000">
          <w:rPr>
            <w:color w:val="1155cc"/>
            <w:u w:val="single"/>
            <w:rtl w:val="0"/>
          </w:rPr>
          <w:t xml:space="preserve">Model Family Financial Protection Act</w:t>
        </w:r>
      </w:hyperlink>
      <w:r w:rsidDel="00000000" w:rsidR="00000000" w:rsidRPr="00000000">
        <w:rPr>
          <w:rtl w:val="0"/>
        </w:rPr>
      </w:r>
    </w:p>
    <w:p w:rsidR="00000000" w:rsidDel="00000000" w:rsidP="00000000" w:rsidRDefault="00000000" w:rsidRPr="00000000" w14:paraId="00000018">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pPr>
      <w:hyperlink r:id="rId13">
        <w:r w:rsidDel="00000000" w:rsidR="00000000" w:rsidRPr="00000000">
          <w:rPr>
            <w:color w:val="1155cc"/>
            <w:u w:val="single"/>
            <w:rtl w:val="0"/>
          </w:rPr>
          <w:t xml:space="preserve">State Debt Collection Fact Sheets</w:t>
        </w:r>
      </w:hyperlink>
      <w:r w:rsidDel="00000000" w:rsidR="00000000" w:rsidRPr="00000000">
        <w:rPr>
          <w:rtl w:val="0"/>
        </w:rPr>
      </w:r>
    </w:p>
    <w:p w:rsidR="00000000" w:rsidDel="00000000" w:rsidP="00000000" w:rsidRDefault="00000000" w:rsidRPr="00000000" w14:paraId="00000019">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pPr>
      <w:hyperlink r:id="rId14">
        <w:r w:rsidDel="00000000" w:rsidR="00000000" w:rsidRPr="00000000">
          <w:rPr>
            <w:color w:val="1155cc"/>
            <w:u w:val="single"/>
            <w:rtl w:val="0"/>
          </w:rPr>
          <w:t xml:space="preserve">Fair Debt Collection</w:t>
        </w:r>
      </w:hyperlink>
      <w:r w:rsidDel="00000000" w:rsidR="00000000" w:rsidRPr="00000000">
        <w:rPr>
          <w:rtl w:val="0"/>
        </w:rPr>
        <w:t xml:space="preserve"> and </w:t>
      </w:r>
      <w:hyperlink r:id="rId15">
        <w:r w:rsidDel="00000000" w:rsidR="00000000" w:rsidRPr="00000000">
          <w:rPr>
            <w:color w:val="1155cc"/>
            <w:u w:val="single"/>
            <w:rtl w:val="0"/>
          </w:rPr>
          <w:t xml:space="preserve">Collection Actions</w:t>
        </w:r>
      </w:hyperlink>
      <w:r w:rsidDel="00000000" w:rsidR="00000000" w:rsidRPr="00000000">
        <w:rPr>
          <w:rtl w:val="0"/>
        </w:rPr>
        <w:t xml:space="preserve"> (legal treatises):</w:t>
      </w:r>
    </w:p>
    <w:p w:rsidR="00000000" w:rsidDel="00000000" w:rsidP="00000000" w:rsidRDefault="00000000" w:rsidRPr="00000000" w14:paraId="0000001A">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ind w:left="720" w:hanging="360"/>
      </w:pPr>
      <w:hyperlink r:id="rId16">
        <w:r w:rsidDel="00000000" w:rsidR="00000000" w:rsidRPr="00000000">
          <w:rPr>
            <w:i w:val="1"/>
            <w:iCs w:val="1"/>
            <w:color w:val="1155cc"/>
            <w:u w:val="single"/>
            <w:rtl w:val="0"/>
          </w:rPr>
          <w:t xml:space="preserve">Surviving Debt</w:t>
        </w:r>
      </w:hyperlink>
      <w:r w:rsidDel="00000000" w:rsidR="00000000" w:rsidRPr="00000000">
        <w:rPr>
          <w:rtl w:val="0"/>
        </w:rPr>
        <w:t xml:space="preserve"> (consumer book) and </w:t>
      </w:r>
      <w:hyperlink r:id="rId17">
        <w:r w:rsidDel="00000000" w:rsidR="00000000" w:rsidRPr="00000000">
          <w:rPr>
            <w:color w:val="1155cc"/>
            <w:u w:val="single"/>
            <w:rtl w:val="0"/>
          </w:rPr>
          <w:t xml:space="preserve">Consumer Debt Advice</w:t>
        </w:r>
      </w:hyperlink>
      <w:r w:rsidDel="00000000" w:rsidR="00000000" w:rsidRPr="00000000">
        <w:rPr>
          <w:rtl w:val="0"/>
        </w:rPr>
        <w:t xml:space="preserve"> (free articles)</w:t>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280" w:lineRule="auto"/>
        <w:jc w:val="center"/>
        <w:rPr/>
      </w:pPr>
      <w:r w:rsidDel="00000000" w:rsidR="00000000" w:rsidRPr="00000000">
        <w:rPr>
          <w:rtl w:val="0"/>
        </w:rPr>
        <w:t xml:space="preserve">###</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highlight w:val="yellow"/>
        </w:rPr>
      </w:pPr>
      <w:r w:rsidDel="00000000" w:rsidR="00000000" w:rsidRPr="00000000">
        <w:rPr>
          <w:highlight w:val="yellow"/>
          <w:rtl w:val="0"/>
        </w:rPr>
        <w:t xml:space="preserve">NACBA boilerplate</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highlight w:val="yellow"/>
        </w:rPr>
      </w:pPr>
      <w:r w:rsidDel="00000000" w:rsidR="00000000" w:rsidRPr="00000000">
        <w:rPr>
          <w:highlight w:val="yellow"/>
          <w:rtl w:val="0"/>
        </w:rPr>
        <w:t xml:space="preserve">MDC boilerplate</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pPr>
      <w:r w:rsidDel="00000000" w:rsidR="00000000" w:rsidRPr="00000000">
        <w:rPr>
          <w:rtl w:val="0"/>
        </w:rPr>
        <w:t xml:space="preserve">Since 1969, the nonprofit </w:t>
      </w:r>
      <w:hyperlink r:id="rId18">
        <w:r w:rsidDel="00000000" w:rsidR="00000000" w:rsidRPr="00000000">
          <w:rPr>
            <w:color w:val="1155cc"/>
            <w:u w:val="single"/>
            <w:rtl w:val="0"/>
          </w:rPr>
          <w:t xml:space="preserve">National Consumer Law Center</w:t>
        </w:r>
      </w:hyperlink>
      <w:r w:rsidDel="00000000" w:rsidR="00000000" w:rsidRPr="00000000">
        <w:rPr>
          <w:rtl w:val="0"/>
        </w:rPr>
        <w:t xml:space="preserve"> has worked for consumer justice and economic security for low-income and other disadvantaged people in the United States through its expertise in policy analysis and advocacy, publications, litigation, expert witness services, and training.</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arolyn Carter" w:id="1" w:date="2025-12-16T22:03:28Z">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same comment.</w:t>
      </w:r>
    </w:p>
  </w:comment>
  <w:comment w:author="Carolyn Carter" w:id="0" w:date="2025-12-16T22:03:06Z">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No. Car. advocate should pay attention to this heading.  No. Car. completely protects wages from seizure, but only if "cannot be so applied when it appears, by the debtor's affidavit or otherwise, that these earnings are necessary for the use of a family supported wholly or partly by his labor."  N.C. Gen. Laws  sec. 1-362.  If this requirement is an obstacle to protecting a judgment debtor's wages, the N.C. advocate may want to revise this heading, &amp; mention it in the advocate's quote.  On the other hand, the advocate may not want to trumpet the notion that this protection can be evaded.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clc.org/resources/no-fresh-start-2024/" TargetMode="External"/><Relationship Id="rId10" Type="http://schemas.openxmlformats.org/officeDocument/2006/relationships/hyperlink" Target="https://www.pew.org/en/research-and-analysis/articles/2025/09/02/debt-collection-lawsuits-surge-to-pre-pandemic-highs" TargetMode="External"/><Relationship Id="rId13" Type="http://schemas.openxmlformats.org/officeDocument/2006/relationships/hyperlink" Target="https://www.nclc.org/resources/state-fact-sheets-debt-collection/" TargetMode="External"/><Relationship Id="rId12" Type="http://schemas.openxmlformats.org/officeDocument/2006/relationships/hyperlink" Target="https://www.nclc.org/resources/model-family-financial-protection-act/"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nber.org/system/files/working_papers/w30724/w30724.pdf" TargetMode="External"/><Relationship Id="rId15" Type="http://schemas.openxmlformats.org/officeDocument/2006/relationships/hyperlink" Target="https://library.nclc.org/ca" TargetMode="External"/><Relationship Id="rId14" Type="http://schemas.openxmlformats.org/officeDocument/2006/relationships/hyperlink" Target="https://library.nclc.org/FDC/subscribe" TargetMode="External"/><Relationship Id="rId17" Type="http://schemas.openxmlformats.org/officeDocument/2006/relationships/hyperlink" Target="https://mailchi.mp/nclc/consumerdebt" TargetMode="External"/><Relationship Id="rId16" Type="http://schemas.openxmlformats.org/officeDocument/2006/relationships/hyperlink" Target="https://library.nclc.org/SD/subscribe"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hyperlink" Target="http://www.nclc.org/" TargetMode="External"/><Relationship Id="rId7" Type="http://schemas.openxmlformats.org/officeDocument/2006/relationships/hyperlink" Target="mailto:srouzer@nclc.org" TargetMode="External"/><Relationship Id="rId8" Type="http://schemas.openxmlformats.org/officeDocument/2006/relationships/hyperlink" Target="https://www.sciencedirect.com/science/article/abs/pii/S0378426624001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