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5307D" w14:textId="55EA22F9" w:rsidR="00C21ABF" w:rsidRPr="00B402D3" w:rsidRDefault="00C87B56" w:rsidP="00C00B8A">
      <w:pPr>
        <w:pStyle w:val="Title"/>
        <w:spacing w:after="0"/>
        <w:rPr>
          <w:rFonts w:asciiTheme="minorHAnsi" w:hAnsiTheme="minorHAnsi"/>
          <w:b/>
          <w:bCs/>
          <w:color w:val="365F91" w:themeColor="accent1" w:themeShade="BF"/>
          <w:sz w:val="32"/>
          <w:szCs w:val="32"/>
        </w:rPr>
      </w:pPr>
      <w:r w:rsidRPr="00B402D3">
        <w:rPr>
          <w:rFonts w:asciiTheme="minorHAnsi" w:hAnsiTheme="minorHAnsi"/>
          <w:b/>
          <w:bCs/>
          <w:color w:val="365F91" w:themeColor="accent1" w:themeShade="BF"/>
          <w:sz w:val="32"/>
          <w:szCs w:val="32"/>
        </w:rPr>
        <w:t xml:space="preserve">Position Paper </w:t>
      </w:r>
      <w:r w:rsidR="00543E94" w:rsidRPr="00B402D3">
        <w:rPr>
          <w:rFonts w:asciiTheme="minorHAnsi" w:hAnsiTheme="minorHAnsi"/>
          <w:b/>
          <w:bCs/>
          <w:color w:val="365F91" w:themeColor="accent1" w:themeShade="BF"/>
          <w:sz w:val="32"/>
          <w:szCs w:val="32"/>
        </w:rPr>
        <w:t xml:space="preserve">on Proposed 11 U.S.C. § 708 and </w:t>
      </w:r>
      <w:r w:rsidR="00B402D3">
        <w:rPr>
          <w:rFonts w:asciiTheme="minorHAnsi" w:hAnsiTheme="minorHAnsi"/>
          <w:b/>
          <w:bCs/>
          <w:color w:val="365F91" w:themeColor="accent1" w:themeShade="BF"/>
          <w:sz w:val="32"/>
          <w:szCs w:val="32"/>
        </w:rPr>
        <w:t>Consumer Bankruptcy</w:t>
      </w:r>
      <w:r w:rsidR="00543E94" w:rsidRPr="00B402D3">
        <w:rPr>
          <w:rFonts w:asciiTheme="minorHAnsi" w:hAnsiTheme="minorHAnsi"/>
          <w:b/>
          <w:bCs/>
          <w:color w:val="365F91" w:themeColor="accent1" w:themeShade="BF"/>
          <w:sz w:val="32"/>
          <w:szCs w:val="32"/>
        </w:rPr>
        <w:t xml:space="preserve"> Attorney Fee Reform</w:t>
      </w:r>
    </w:p>
    <w:p w14:paraId="5252052C" w14:textId="77777777" w:rsidR="00C21ABF" w:rsidRPr="00122E1C" w:rsidRDefault="00543E94" w:rsidP="00C00B8A">
      <w:pPr>
        <w:pStyle w:val="Heading1"/>
        <w:spacing w:line="240" w:lineRule="auto"/>
        <w:rPr>
          <w:rFonts w:asciiTheme="minorHAnsi" w:hAnsiTheme="minorHAnsi"/>
          <w:sz w:val="24"/>
          <w:szCs w:val="24"/>
        </w:rPr>
      </w:pPr>
      <w:r w:rsidRPr="00122E1C">
        <w:rPr>
          <w:rFonts w:asciiTheme="minorHAnsi" w:hAnsiTheme="minorHAnsi"/>
          <w:sz w:val="24"/>
          <w:szCs w:val="24"/>
        </w:rPr>
        <w:t>Executive Summary</w:t>
      </w:r>
    </w:p>
    <w:p w14:paraId="5C343089" w14:textId="77777777" w:rsidR="003316DC" w:rsidRPr="00122E1C" w:rsidRDefault="003316DC" w:rsidP="00C00B8A">
      <w:pPr>
        <w:spacing w:after="0" w:line="240" w:lineRule="auto"/>
        <w:rPr>
          <w:sz w:val="24"/>
          <w:szCs w:val="24"/>
        </w:rPr>
      </w:pPr>
      <w:r w:rsidRPr="00122E1C">
        <w:rPr>
          <w:sz w:val="24"/>
          <w:szCs w:val="24"/>
        </w:rPr>
        <w:t>The National Bankruptcy Conference’s proposed § 708 seeks to address a real and persistent access-to-justice problem: many individuals cannot afford to file Chapter 7 bankruptcy because attorney’s fees must be paid upfront. While this proposal is thoughtful and well-structured, it does not fully account for the localized and structural realities of consumer bankruptcy practice, as reflected in the comments and perspectives NACBA has sought and received from dozens of its members across the country.</w:t>
      </w:r>
    </w:p>
    <w:p w14:paraId="5936EF0E" w14:textId="77777777" w:rsidR="003316DC" w:rsidRPr="00122E1C" w:rsidRDefault="003316DC" w:rsidP="00C00B8A">
      <w:pPr>
        <w:spacing w:after="0" w:line="240" w:lineRule="auto"/>
        <w:rPr>
          <w:sz w:val="24"/>
          <w:szCs w:val="24"/>
        </w:rPr>
      </w:pPr>
      <w:r w:rsidRPr="00122E1C">
        <w:rPr>
          <w:sz w:val="24"/>
          <w:szCs w:val="24"/>
        </w:rPr>
        <w:t>In jurisdictions such as North Carolina, the primary barrier to Chapter 7 is not cost alone, but the risk of losing non-exempt home equity due to inadequate homestead exemptions. In such jurisdictions, Attorney Fee Only (AFO) Chapter 13 cases are not a workaround—they are the appropriate and rational legal response.</w:t>
      </w:r>
    </w:p>
    <w:p w14:paraId="2B7DCC85" w14:textId="77777777" w:rsidR="003316DC" w:rsidRPr="00122E1C" w:rsidRDefault="003316DC" w:rsidP="00C00B8A">
      <w:pPr>
        <w:spacing w:after="0" w:line="240" w:lineRule="auto"/>
        <w:rPr>
          <w:sz w:val="24"/>
          <w:szCs w:val="24"/>
        </w:rPr>
      </w:pPr>
      <w:r w:rsidRPr="00122E1C">
        <w:rPr>
          <w:sz w:val="24"/>
          <w:szCs w:val="24"/>
        </w:rPr>
        <w:t>By contrast, in states such as Texas, where the homestead exemption is effectively unlimited and wage garnishment is largely unavailable, the urgency to file bankruptcy is often reduced, and debtors may have greater ability to accumulate funds prior to filing. In still other jurisdictions—such as Michigan and Minnesota—where homestead exemptions are more reasonable and wage garnishment is permitted, the pressure to file quickly is more acute in order to avoid judgment liens and seizure of up to 25% of a debtor's paycheck, making bifurcated Chapter 7 fee arrangements or other alternatives more necessary.</w:t>
      </w:r>
    </w:p>
    <w:p w14:paraId="5ACC0846" w14:textId="77777777" w:rsidR="008653F4" w:rsidRPr="00122E1C" w:rsidRDefault="00543E94" w:rsidP="00C00B8A">
      <w:pPr>
        <w:pStyle w:val="Heading1"/>
        <w:spacing w:line="240" w:lineRule="auto"/>
        <w:rPr>
          <w:rFonts w:asciiTheme="minorHAnsi" w:hAnsiTheme="minorHAnsi"/>
          <w:sz w:val="24"/>
          <w:szCs w:val="24"/>
        </w:rPr>
      </w:pPr>
      <w:r w:rsidRPr="00122E1C">
        <w:rPr>
          <w:rFonts w:asciiTheme="minorHAnsi" w:hAnsiTheme="minorHAnsi"/>
          <w:sz w:val="24"/>
          <w:szCs w:val="24"/>
        </w:rPr>
        <w:t>I. The Access-to-Justice Problem</w:t>
      </w:r>
    </w:p>
    <w:p w14:paraId="446987C8" w14:textId="53756C64" w:rsidR="008653F4" w:rsidRPr="00122E1C" w:rsidRDefault="008653F4" w:rsidP="00C00B8A">
      <w:pPr>
        <w:pStyle w:val="Heading1"/>
        <w:spacing w:before="0" w:line="240" w:lineRule="auto"/>
        <w:rPr>
          <w:rFonts w:asciiTheme="minorHAnsi" w:hAnsiTheme="minorHAnsi"/>
          <w:sz w:val="24"/>
          <w:szCs w:val="24"/>
        </w:rPr>
      </w:pPr>
      <w:r w:rsidRPr="00122E1C">
        <w:rPr>
          <w:rFonts w:asciiTheme="minorHAnsi" w:eastAsiaTheme="minorEastAsia" w:hAnsiTheme="minorHAnsi" w:cstheme="minorBidi"/>
          <w:b w:val="0"/>
          <w:bCs w:val="0"/>
          <w:color w:val="auto"/>
          <w:sz w:val="24"/>
          <w:szCs w:val="24"/>
        </w:rPr>
        <w:t>Many debtors delay filing bankruptcy due to inability to pay attorney’s fees. Others file pro se or are steered into Chapter 13 solely because it allows payment over time.</w:t>
      </w:r>
    </w:p>
    <w:p w14:paraId="4F4B6EFE" w14:textId="101A65F1" w:rsidR="008653F4" w:rsidRPr="00122E1C" w:rsidRDefault="008653F4" w:rsidP="00C00B8A">
      <w:pPr>
        <w:pStyle w:val="Heading1"/>
        <w:spacing w:before="0" w:line="240" w:lineRule="auto"/>
        <w:rPr>
          <w:rFonts w:asciiTheme="minorHAnsi" w:eastAsiaTheme="minorEastAsia" w:hAnsiTheme="minorHAnsi" w:cstheme="minorBidi"/>
          <w:b w:val="0"/>
          <w:bCs w:val="0"/>
          <w:color w:val="auto"/>
          <w:sz w:val="24"/>
          <w:szCs w:val="24"/>
        </w:rPr>
      </w:pPr>
      <w:r w:rsidRPr="00122E1C">
        <w:rPr>
          <w:rFonts w:asciiTheme="minorHAnsi" w:eastAsiaTheme="minorEastAsia" w:hAnsiTheme="minorHAnsi" w:cstheme="minorBidi"/>
          <w:b w:val="0"/>
          <w:bCs w:val="0"/>
          <w:color w:val="auto"/>
          <w:sz w:val="24"/>
          <w:szCs w:val="24"/>
        </w:rPr>
        <w:t>This can create inequitable outcomes and disproportionately affect vulnerable populations, including due to problems of implicit biases affecting chapter choice. As documented in Debt’s Grip (Lawless, Foohey, and Thorne) and reinforced by the ProPublica reporting on “When You Can’t Afford to Go Bankrupt,” financial constraints—and the systems built around them—can influence not only whether debtors file, but which chapter they are directed toward, with significant consequences for long-term financial outcomes.</w:t>
      </w:r>
    </w:p>
    <w:p w14:paraId="16C68095" w14:textId="44320DE2" w:rsidR="00C21ABF" w:rsidRPr="00122E1C" w:rsidRDefault="00543E94" w:rsidP="00C00B8A">
      <w:pPr>
        <w:pStyle w:val="Heading1"/>
        <w:spacing w:line="240" w:lineRule="auto"/>
        <w:rPr>
          <w:rFonts w:asciiTheme="minorHAnsi" w:hAnsiTheme="minorHAnsi"/>
          <w:sz w:val="24"/>
          <w:szCs w:val="24"/>
        </w:rPr>
      </w:pPr>
      <w:r w:rsidRPr="00122E1C">
        <w:rPr>
          <w:rFonts w:asciiTheme="minorHAnsi" w:hAnsiTheme="minorHAnsi"/>
          <w:sz w:val="24"/>
          <w:szCs w:val="24"/>
        </w:rPr>
        <w:t>II. Structural Limits of Current Law</w:t>
      </w:r>
    </w:p>
    <w:p w14:paraId="583F8E59" w14:textId="6D3BAF1B" w:rsidR="00C21ABF" w:rsidRPr="00122E1C" w:rsidRDefault="00543E94" w:rsidP="00C00B8A">
      <w:pPr>
        <w:spacing w:after="0" w:line="240" w:lineRule="auto"/>
        <w:rPr>
          <w:b/>
          <w:bCs/>
          <w:sz w:val="24"/>
          <w:szCs w:val="24"/>
        </w:rPr>
      </w:pPr>
      <w:r w:rsidRPr="00122E1C">
        <w:rPr>
          <w:sz w:val="24"/>
          <w:szCs w:val="24"/>
        </w:rPr>
        <w:t xml:space="preserve">Under current law, including </w:t>
      </w:r>
      <w:r w:rsidRPr="00122E1C">
        <w:rPr>
          <w:i/>
          <w:iCs/>
          <w:sz w:val="24"/>
          <w:szCs w:val="24"/>
        </w:rPr>
        <w:t>Lamie v. U.S. Trustee</w:t>
      </w:r>
      <w:r w:rsidRPr="00122E1C">
        <w:rPr>
          <w:sz w:val="24"/>
          <w:szCs w:val="24"/>
        </w:rPr>
        <w:t xml:space="preserve"> and related jurisprudence, Chapter 7 attorneys must be paid in full prior to filing because unpaid prepetition fees are dischargeable. This creates a rigid and exclusionary system.</w:t>
      </w:r>
      <w:r w:rsidR="00D54E2F" w:rsidRPr="00122E1C">
        <w:rPr>
          <w:sz w:val="24"/>
          <w:szCs w:val="24"/>
        </w:rPr>
        <w:t xml:space="preserve"> It </w:t>
      </w:r>
      <w:r w:rsidR="00CD6A49" w:rsidRPr="00122E1C">
        <w:rPr>
          <w:sz w:val="24"/>
          <w:szCs w:val="24"/>
        </w:rPr>
        <w:t xml:space="preserve">should, </w:t>
      </w:r>
      <w:r w:rsidR="00B402D3" w:rsidRPr="00122E1C">
        <w:rPr>
          <w:sz w:val="24"/>
          <w:szCs w:val="24"/>
        </w:rPr>
        <w:t>however, be</w:t>
      </w:r>
      <w:r w:rsidR="00D54E2F" w:rsidRPr="00122E1C">
        <w:rPr>
          <w:sz w:val="24"/>
          <w:szCs w:val="24"/>
        </w:rPr>
        <w:t xml:space="preserve"> noted that </w:t>
      </w:r>
      <w:r w:rsidR="00D1320F" w:rsidRPr="00122E1C">
        <w:rPr>
          <w:sz w:val="24"/>
          <w:szCs w:val="24"/>
        </w:rPr>
        <w:t xml:space="preserve">while </w:t>
      </w:r>
      <w:r w:rsidR="00D1320F" w:rsidRPr="00122E1C">
        <w:rPr>
          <w:i/>
          <w:iCs/>
          <w:sz w:val="24"/>
          <w:szCs w:val="24"/>
        </w:rPr>
        <w:t>Lamie</w:t>
      </w:r>
      <w:r w:rsidR="00D1320F" w:rsidRPr="00122E1C">
        <w:rPr>
          <w:b/>
          <w:bCs/>
          <w:i/>
          <w:iCs/>
          <w:sz w:val="24"/>
          <w:szCs w:val="24"/>
        </w:rPr>
        <w:t xml:space="preserve"> </w:t>
      </w:r>
      <w:r w:rsidR="00D1320F" w:rsidRPr="00122E1C">
        <w:rPr>
          <w:sz w:val="24"/>
          <w:szCs w:val="24"/>
        </w:rPr>
        <w:t>precludes a debtor</w:t>
      </w:r>
      <w:r w:rsidR="004875E4" w:rsidRPr="00122E1C">
        <w:rPr>
          <w:sz w:val="24"/>
          <w:szCs w:val="24"/>
        </w:rPr>
        <w:t xml:space="preserve">’s attorney fees from being paid from assets of the Chapter 7 bankruptcy </w:t>
      </w:r>
      <w:r w:rsidR="005736F7" w:rsidRPr="00122E1C">
        <w:rPr>
          <w:sz w:val="24"/>
          <w:szCs w:val="24"/>
        </w:rPr>
        <w:t>estate, very</w:t>
      </w:r>
      <w:r w:rsidR="004875E4" w:rsidRPr="00122E1C">
        <w:rPr>
          <w:sz w:val="24"/>
          <w:szCs w:val="24"/>
        </w:rPr>
        <w:t xml:space="preserve"> few </w:t>
      </w:r>
      <w:r w:rsidR="005736F7" w:rsidRPr="00122E1C">
        <w:rPr>
          <w:sz w:val="24"/>
          <w:szCs w:val="24"/>
        </w:rPr>
        <w:t xml:space="preserve">consumer </w:t>
      </w:r>
      <w:r w:rsidR="00B16FAE" w:rsidRPr="00122E1C">
        <w:rPr>
          <w:sz w:val="24"/>
          <w:szCs w:val="24"/>
        </w:rPr>
        <w:t xml:space="preserve">Chapter 7 </w:t>
      </w:r>
      <w:r w:rsidR="004875E4" w:rsidRPr="00122E1C">
        <w:rPr>
          <w:sz w:val="24"/>
          <w:szCs w:val="24"/>
        </w:rPr>
        <w:lastRenderedPageBreak/>
        <w:t xml:space="preserve">bankruptcy cases (particularly where the debtor was unable to pay </w:t>
      </w:r>
      <w:r w:rsidR="00B16FAE" w:rsidRPr="00122E1C">
        <w:rPr>
          <w:sz w:val="24"/>
          <w:szCs w:val="24"/>
        </w:rPr>
        <w:t xml:space="preserve">the attorney fees in advance of filing) actually have </w:t>
      </w:r>
      <w:r w:rsidR="00747844" w:rsidRPr="00122E1C">
        <w:rPr>
          <w:sz w:val="24"/>
          <w:szCs w:val="24"/>
        </w:rPr>
        <w:t>assets for</w:t>
      </w:r>
      <w:r w:rsidR="005736F7" w:rsidRPr="00122E1C">
        <w:rPr>
          <w:sz w:val="24"/>
          <w:szCs w:val="24"/>
        </w:rPr>
        <w:t xml:space="preserve"> any party.</w:t>
      </w:r>
    </w:p>
    <w:p w14:paraId="1944CB58" w14:textId="77777777" w:rsidR="00C21ABF" w:rsidRPr="00122E1C" w:rsidRDefault="00543E94" w:rsidP="00C00B8A">
      <w:pPr>
        <w:pStyle w:val="Heading1"/>
        <w:spacing w:line="240" w:lineRule="auto"/>
        <w:rPr>
          <w:rFonts w:asciiTheme="minorHAnsi" w:hAnsiTheme="minorHAnsi"/>
          <w:sz w:val="24"/>
          <w:szCs w:val="24"/>
        </w:rPr>
      </w:pPr>
      <w:r w:rsidRPr="00122E1C">
        <w:rPr>
          <w:rFonts w:asciiTheme="minorHAnsi" w:hAnsiTheme="minorHAnsi"/>
          <w:sz w:val="24"/>
          <w:szCs w:val="24"/>
        </w:rPr>
        <w:t>III. Risks of Existing Workarounds</w:t>
      </w:r>
    </w:p>
    <w:p w14:paraId="7F39AEBB" w14:textId="77777777" w:rsidR="00C21ABF" w:rsidRPr="00122E1C" w:rsidRDefault="00543E94" w:rsidP="00C00B8A">
      <w:pPr>
        <w:spacing w:after="0" w:line="240" w:lineRule="auto"/>
        <w:rPr>
          <w:sz w:val="24"/>
          <w:szCs w:val="24"/>
        </w:rPr>
      </w:pPr>
      <w:r w:rsidRPr="00122E1C">
        <w:rPr>
          <w:sz w:val="24"/>
          <w:szCs w:val="24"/>
        </w:rPr>
        <w:t>Alternative fee arrangements—including bifurcation, third-party financing, and factoring—have led to significant legal and ethical concerns, including fee disgorgement and sanctions for noncompliance with disclosure requirements.</w:t>
      </w:r>
    </w:p>
    <w:p w14:paraId="62F12BE0" w14:textId="77777777" w:rsidR="00C21ABF" w:rsidRPr="00122E1C" w:rsidRDefault="00543E94" w:rsidP="00C00B8A">
      <w:pPr>
        <w:pStyle w:val="Heading1"/>
        <w:spacing w:line="240" w:lineRule="auto"/>
        <w:rPr>
          <w:rFonts w:asciiTheme="minorHAnsi" w:hAnsiTheme="minorHAnsi"/>
          <w:sz w:val="24"/>
          <w:szCs w:val="24"/>
        </w:rPr>
      </w:pPr>
      <w:r w:rsidRPr="00122E1C">
        <w:rPr>
          <w:rFonts w:asciiTheme="minorHAnsi" w:hAnsiTheme="minorHAnsi"/>
          <w:sz w:val="24"/>
          <w:szCs w:val="24"/>
        </w:rPr>
        <w:t>IV. Limitations of Proposed § 708</w:t>
      </w:r>
    </w:p>
    <w:p w14:paraId="592D1899" w14:textId="60E26811" w:rsidR="00C21ABF" w:rsidRPr="00122E1C" w:rsidRDefault="00543E94" w:rsidP="00C00B8A">
      <w:pPr>
        <w:spacing w:after="0" w:line="240" w:lineRule="auto"/>
        <w:rPr>
          <w:sz w:val="24"/>
          <w:szCs w:val="24"/>
        </w:rPr>
      </w:pPr>
      <w:r w:rsidRPr="00122E1C">
        <w:rPr>
          <w:sz w:val="24"/>
          <w:szCs w:val="24"/>
        </w:rPr>
        <w:t>While § 708 would legitimize postpetition fee arrangements under court supervision, it does not address jurisdiction-specific realities such as inadequate exemptions or differing creditor remedies.</w:t>
      </w:r>
      <w:r w:rsidRPr="00122E1C">
        <w:rPr>
          <w:sz w:val="24"/>
          <w:szCs w:val="24"/>
        </w:rPr>
        <w:br/>
      </w:r>
      <w:r w:rsidRPr="00122E1C">
        <w:rPr>
          <w:sz w:val="24"/>
          <w:szCs w:val="24"/>
        </w:rPr>
        <w:br/>
        <w:t xml:space="preserve">In states </w:t>
      </w:r>
      <w:r w:rsidR="006C36D9" w:rsidRPr="00122E1C">
        <w:rPr>
          <w:sz w:val="24"/>
          <w:szCs w:val="24"/>
        </w:rPr>
        <w:t>with insufficient exemptions</w:t>
      </w:r>
      <w:r w:rsidRPr="00122E1C">
        <w:rPr>
          <w:sz w:val="24"/>
          <w:szCs w:val="24"/>
        </w:rPr>
        <w:t xml:space="preserve">, allowing bifurcation does not make Chapter 7 viable where </w:t>
      </w:r>
      <w:r w:rsidR="0007575B" w:rsidRPr="00122E1C">
        <w:rPr>
          <w:sz w:val="24"/>
          <w:szCs w:val="24"/>
        </w:rPr>
        <w:t xml:space="preserve">risks of the </w:t>
      </w:r>
      <w:r w:rsidRPr="00122E1C">
        <w:rPr>
          <w:sz w:val="24"/>
          <w:szCs w:val="24"/>
        </w:rPr>
        <w:t>liquidation</w:t>
      </w:r>
      <w:r w:rsidR="0007575B" w:rsidRPr="00122E1C">
        <w:rPr>
          <w:sz w:val="24"/>
          <w:szCs w:val="24"/>
        </w:rPr>
        <w:t xml:space="preserve"> of assets</w:t>
      </w:r>
      <w:r w:rsidRPr="00122E1C">
        <w:rPr>
          <w:sz w:val="24"/>
          <w:szCs w:val="24"/>
        </w:rPr>
        <w:t xml:space="preserve"> remains high.</w:t>
      </w:r>
    </w:p>
    <w:p w14:paraId="321598D3" w14:textId="0317348E" w:rsidR="00C21ABF" w:rsidRPr="00122E1C" w:rsidRDefault="00543E94" w:rsidP="00C00B8A">
      <w:pPr>
        <w:pStyle w:val="Heading1"/>
        <w:spacing w:line="240" w:lineRule="auto"/>
        <w:rPr>
          <w:rFonts w:asciiTheme="minorHAnsi" w:hAnsiTheme="minorHAnsi"/>
          <w:sz w:val="24"/>
          <w:szCs w:val="24"/>
        </w:rPr>
      </w:pPr>
      <w:r w:rsidRPr="00122E1C">
        <w:rPr>
          <w:rFonts w:asciiTheme="minorHAnsi" w:hAnsiTheme="minorHAnsi"/>
          <w:sz w:val="24"/>
          <w:szCs w:val="24"/>
        </w:rPr>
        <w:t xml:space="preserve">V. </w:t>
      </w:r>
      <w:r w:rsidR="00A4390D" w:rsidRPr="00122E1C">
        <w:rPr>
          <w:rFonts w:asciiTheme="minorHAnsi" w:hAnsiTheme="minorHAnsi"/>
          <w:sz w:val="24"/>
          <w:szCs w:val="24"/>
        </w:rPr>
        <w:t>Jurisdictional Realities and the Need for Multiple Structural Options</w:t>
      </w:r>
    </w:p>
    <w:p w14:paraId="5BE37F73" w14:textId="77777777" w:rsidR="00A4390D" w:rsidRPr="00122E1C" w:rsidRDefault="00A4390D" w:rsidP="00C00B8A">
      <w:pPr>
        <w:pStyle w:val="Heading1"/>
        <w:spacing w:before="0" w:line="240" w:lineRule="auto"/>
        <w:rPr>
          <w:rFonts w:asciiTheme="minorHAnsi" w:eastAsiaTheme="minorEastAsia" w:hAnsiTheme="minorHAnsi" w:cstheme="minorBidi"/>
          <w:b w:val="0"/>
          <w:bCs w:val="0"/>
          <w:color w:val="auto"/>
          <w:sz w:val="24"/>
          <w:szCs w:val="24"/>
        </w:rPr>
      </w:pPr>
      <w:r w:rsidRPr="00122E1C">
        <w:rPr>
          <w:rFonts w:asciiTheme="minorHAnsi" w:eastAsiaTheme="minorEastAsia" w:hAnsiTheme="minorHAnsi" w:cstheme="minorBidi"/>
          <w:b w:val="0"/>
          <w:bCs w:val="0"/>
          <w:color w:val="auto"/>
          <w:sz w:val="24"/>
          <w:szCs w:val="24"/>
        </w:rPr>
        <w:t>The central flaw in a uniform approach to Chapter 7 fee reform is the assumption that the primary barrier to filing is always the same. In practice, it is not.</w:t>
      </w:r>
    </w:p>
    <w:p w14:paraId="419D3C5D" w14:textId="77777777" w:rsidR="00A4390D" w:rsidRPr="00122E1C" w:rsidRDefault="00A4390D" w:rsidP="00C00B8A">
      <w:pPr>
        <w:pStyle w:val="Heading1"/>
        <w:spacing w:before="0" w:line="240" w:lineRule="auto"/>
        <w:rPr>
          <w:rFonts w:asciiTheme="minorHAnsi" w:eastAsiaTheme="minorEastAsia" w:hAnsiTheme="minorHAnsi" w:cstheme="minorBidi"/>
          <w:b w:val="0"/>
          <w:bCs w:val="0"/>
          <w:color w:val="auto"/>
          <w:sz w:val="24"/>
          <w:szCs w:val="24"/>
        </w:rPr>
      </w:pPr>
    </w:p>
    <w:p w14:paraId="4821909B" w14:textId="77777777" w:rsidR="00A4390D" w:rsidRPr="00122E1C" w:rsidRDefault="00A4390D" w:rsidP="00C00B8A">
      <w:pPr>
        <w:pStyle w:val="Heading1"/>
        <w:spacing w:before="0" w:line="240" w:lineRule="auto"/>
        <w:rPr>
          <w:rFonts w:asciiTheme="minorHAnsi" w:eastAsiaTheme="minorEastAsia" w:hAnsiTheme="minorHAnsi" w:cstheme="minorBidi"/>
          <w:b w:val="0"/>
          <w:bCs w:val="0"/>
          <w:color w:val="auto"/>
          <w:sz w:val="24"/>
          <w:szCs w:val="24"/>
        </w:rPr>
      </w:pPr>
      <w:r w:rsidRPr="00122E1C">
        <w:rPr>
          <w:rFonts w:asciiTheme="minorHAnsi" w:eastAsiaTheme="minorEastAsia" w:hAnsiTheme="minorHAnsi" w:cstheme="minorBidi"/>
          <w:b w:val="0"/>
          <w:bCs w:val="0"/>
          <w:color w:val="auto"/>
          <w:sz w:val="24"/>
          <w:szCs w:val="24"/>
        </w:rPr>
        <w:t>Instead, chapter choice and fee structure are driven by three interrelated factors:</w:t>
      </w:r>
    </w:p>
    <w:p w14:paraId="4AB55576" w14:textId="77777777" w:rsidR="00A4390D" w:rsidRPr="00122E1C" w:rsidRDefault="00A4390D" w:rsidP="00C00B8A">
      <w:pPr>
        <w:pStyle w:val="Heading1"/>
        <w:spacing w:before="0" w:line="240" w:lineRule="auto"/>
        <w:rPr>
          <w:rFonts w:asciiTheme="minorHAnsi" w:eastAsiaTheme="minorEastAsia" w:hAnsiTheme="minorHAnsi" w:cstheme="minorBidi"/>
          <w:b w:val="0"/>
          <w:bCs w:val="0"/>
          <w:color w:val="auto"/>
          <w:sz w:val="24"/>
          <w:szCs w:val="24"/>
        </w:rPr>
      </w:pPr>
    </w:p>
    <w:p w14:paraId="5D9C8FA5" w14:textId="77777777" w:rsidR="00A4390D" w:rsidRPr="00122E1C" w:rsidRDefault="00A4390D" w:rsidP="00C00B8A">
      <w:pPr>
        <w:pStyle w:val="Heading1"/>
        <w:numPr>
          <w:ilvl w:val="0"/>
          <w:numId w:val="10"/>
        </w:numPr>
        <w:spacing w:before="0" w:line="240" w:lineRule="auto"/>
        <w:rPr>
          <w:rFonts w:asciiTheme="minorHAnsi" w:eastAsiaTheme="minorEastAsia" w:hAnsiTheme="minorHAnsi" w:cstheme="minorBidi"/>
          <w:b w:val="0"/>
          <w:bCs w:val="0"/>
          <w:color w:val="auto"/>
          <w:sz w:val="24"/>
          <w:szCs w:val="24"/>
        </w:rPr>
      </w:pPr>
      <w:r w:rsidRPr="00122E1C">
        <w:rPr>
          <w:rFonts w:asciiTheme="minorHAnsi" w:eastAsiaTheme="minorEastAsia" w:hAnsiTheme="minorHAnsi" w:cstheme="minorBidi"/>
          <w:b w:val="0"/>
          <w:bCs w:val="0"/>
          <w:color w:val="auto"/>
          <w:sz w:val="24"/>
          <w:szCs w:val="24"/>
        </w:rPr>
        <w:t>Strength of homestead exemptions</w:t>
      </w:r>
    </w:p>
    <w:p w14:paraId="68410D93" w14:textId="77777777" w:rsidR="00A4390D" w:rsidRPr="00122E1C" w:rsidRDefault="00A4390D" w:rsidP="00C00B8A">
      <w:pPr>
        <w:pStyle w:val="Heading1"/>
        <w:numPr>
          <w:ilvl w:val="0"/>
          <w:numId w:val="10"/>
        </w:numPr>
        <w:spacing w:before="0" w:line="240" w:lineRule="auto"/>
        <w:rPr>
          <w:rFonts w:asciiTheme="minorHAnsi" w:eastAsiaTheme="minorEastAsia" w:hAnsiTheme="minorHAnsi" w:cstheme="minorBidi"/>
          <w:b w:val="0"/>
          <w:bCs w:val="0"/>
          <w:color w:val="auto"/>
          <w:sz w:val="24"/>
          <w:szCs w:val="24"/>
        </w:rPr>
      </w:pPr>
      <w:r w:rsidRPr="00122E1C">
        <w:rPr>
          <w:rFonts w:asciiTheme="minorHAnsi" w:eastAsiaTheme="minorEastAsia" w:hAnsiTheme="minorHAnsi" w:cstheme="minorBidi"/>
          <w:b w:val="0"/>
          <w:bCs w:val="0"/>
          <w:color w:val="auto"/>
          <w:sz w:val="24"/>
          <w:szCs w:val="24"/>
        </w:rPr>
        <w:t>Availability of wage garnishment</w:t>
      </w:r>
    </w:p>
    <w:p w14:paraId="4EDA7899" w14:textId="1940DBE8" w:rsidR="00A4390D" w:rsidRPr="00122E1C" w:rsidRDefault="00A4390D" w:rsidP="00C00B8A">
      <w:pPr>
        <w:pStyle w:val="Heading1"/>
        <w:numPr>
          <w:ilvl w:val="0"/>
          <w:numId w:val="10"/>
        </w:numPr>
        <w:spacing w:before="0" w:line="240" w:lineRule="auto"/>
        <w:rPr>
          <w:rFonts w:asciiTheme="minorHAnsi" w:eastAsiaTheme="minorEastAsia" w:hAnsiTheme="minorHAnsi" w:cstheme="minorBidi"/>
          <w:b w:val="0"/>
          <w:bCs w:val="0"/>
          <w:color w:val="auto"/>
          <w:sz w:val="24"/>
          <w:szCs w:val="24"/>
        </w:rPr>
      </w:pPr>
      <w:r w:rsidRPr="00122E1C">
        <w:rPr>
          <w:rFonts w:asciiTheme="minorHAnsi" w:eastAsiaTheme="minorEastAsia" w:hAnsiTheme="minorHAnsi" w:cstheme="minorBidi"/>
          <w:b w:val="0"/>
          <w:bCs w:val="0"/>
          <w:color w:val="auto"/>
          <w:sz w:val="24"/>
          <w:szCs w:val="24"/>
        </w:rPr>
        <w:t>Urgency of creditor collection pressure</w:t>
      </w:r>
    </w:p>
    <w:p w14:paraId="2E517766" w14:textId="77777777" w:rsidR="00A4390D" w:rsidRPr="00122E1C" w:rsidRDefault="00A4390D" w:rsidP="00C00B8A">
      <w:pPr>
        <w:pStyle w:val="Heading1"/>
        <w:spacing w:before="0" w:line="240" w:lineRule="auto"/>
        <w:rPr>
          <w:rFonts w:asciiTheme="minorHAnsi" w:eastAsiaTheme="minorEastAsia" w:hAnsiTheme="minorHAnsi" w:cstheme="minorBidi"/>
          <w:b w:val="0"/>
          <w:bCs w:val="0"/>
          <w:color w:val="auto"/>
          <w:sz w:val="24"/>
          <w:szCs w:val="24"/>
        </w:rPr>
      </w:pPr>
    </w:p>
    <w:p w14:paraId="505C90E7" w14:textId="77777777" w:rsidR="00A4390D" w:rsidRPr="00122E1C" w:rsidRDefault="00A4390D" w:rsidP="00C00B8A">
      <w:pPr>
        <w:pStyle w:val="Heading1"/>
        <w:spacing w:before="0" w:line="240" w:lineRule="auto"/>
        <w:rPr>
          <w:rFonts w:asciiTheme="minorHAnsi" w:eastAsiaTheme="minorEastAsia" w:hAnsiTheme="minorHAnsi" w:cstheme="minorBidi"/>
          <w:b w:val="0"/>
          <w:bCs w:val="0"/>
          <w:color w:val="auto"/>
          <w:sz w:val="24"/>
          <w:szCs w:val="24"/>
        </w:rPr>
      </w:pPr>
      <w:r w:rsidRPr="00122E1C">
        <w:rPr>
          <w:rFonts w:asciiTheme="minorHAnsi" w:eastAsiaTheme="minorEastAsia" w:hAnsiTheme="minorHAnsi" w:cstheme="minorBidi"/>
          <w:b w:val="0"/>
          <w:bCs w:val="0"/>
          <w:color w:val="auto"/>
          <w:sz w:val="24"/>
          <w:szCs w:val="24"/>
        </w:rPr>
        <w:t>These factors vary significantly across jurisdictions and directly influence which fee structures are appropriate.</w:t>
      </w:r>
    </w:p>
    <w:p w14:paraId="5DB1DE55" w14:textId="77777777" w:rsidR="000D106C" w:rsidRPr="00122E1C" w:rsidRDefault="000D106C" w:rsidP="00C00B8A">
      <w:pPr>
        <w:spacing w:after="0" w:line="240" w:lineRule="auto"/>
        <w:rPr>
          <w:b/>
          <w:bCs/>
          <w:sz w:val="24"/>
          <w:szCs w:val="24"/>
        </w:rPr>
      </w:pPr>
    </w:p>
    <w:p w14:paraId="2F0C40BA" w14:textId="268F2CAE" w:rsidR="000D106C" w:rsidRPr="000D106C" w:rsidRDefault="000D106C" w:rsidP="00C00B8A">
      <w:pPr>
        <w:spacing w:after="0" w:line="240" w:lineRule="auto"/>
        <w:rPr>
          <w:b/>
          <w:bCs/>
          <w:sz w:val="24"/>
          <w:szCs w:val="24"/>
        </w:rPr>
      </w:pPr>
      <w:r w:rsidRPr="000D106C">
        <w:rPr>
          <w:b/>
          <w:bCs/>
          <w:sz w:val="24"/>
          <w:szCs w:val="24"/>
        </w:rPr>
        <w:t>A. North Carolina: Weak Homestead, Low Garnishment Pressure → AFO Chapter 13</w:t>
      </w:r>
    </w:p>
    <w:p w14:paraId="041BFDD6" w14:textId="77777777" w:rsidR="000D106C" w:rsidRPr="000D106C" w:rsidRDefault="000D106C" w:rsidP="00C00B8A">
      <w:pPr>
        <w:spacing w:after="0" w:line="240" w:lineRule="auto"/>
        <w:rPr>
          <w:sz w:val="24"/>
          <w:szCs w:val="24"/>
        </w:rPr>
      </w:pPr>
      <w:r w:rsidRPr="000D106C">
        <w:rPr>
          <w:sz w:val="24"/>
          <w:szCs w:val="24"/>
        </w:rPr>
        <w:t>North Carolina presents a paradigm where:</w:t>
      </w:r>
    </w:p>
    <w:p w14:paraId="40E59B30" w14:textId="2BE86CD1" w:rsidR="000D106C" w:rsidRPr="000D106C" w:rsidRDefault="000D106C" w:rsidP="00C00B8A">
      <w:pPr>
        <w:numPr>
          <w:ilvl w:val="0"/>
          <w:numId w:val="11"/>
        </w:numPr>
        <w:spacing w:after="0" w:line="240" w:lineRule="auto"/>
        <w:rPr>
          <w:sz w:val="24"/>
          <w:szCs w:val="24"/>
        </w:rPr>
      </w:pPr>
      <w:r w:rsidRPr="000D106C">
        <w:rPr>
          <w:sz w:val="24"/>
          <w:szCs w:val="24"/>
        </w:rPr>
        <w:t xml:space="preserve">Homestead exemptions are relatively </w:t>
      </w:r>
      <w:r w:rsidR="007B4B88" w:rsidRPr="000D106C">
        <w:rPr>
          <w:sz w:val="24"/>
          <w:szCs w:val="24"/>
        </w:rPr>
        <w:t>low.</w:t>
      </w:r>
      <w:r w:rsidRPr="000D106C">
        <w:rPr>
          <w:sz w:val="24"/>
          <w:szCs w:val="24"/>
        </w:rPr>
        <w:t xml:space="preserve"> </w:t>
      </w:r>
    </w:p>
    <w:p w14:paraId="437F4CDD" w14:textId="1F6B5A5C" w:rsidR="000D106C" w:rsidRPr="000D106C" w:rsidRDefault="000D106C" w:rsidP="00C00B8A">
      <w:pPr>
        <w:numPr>
          <w:ilvl w:val="0"/>
          <w:numId w:val="11"/>
        </w:numPr>
        <w:spacing w:after="0" w:line="240" w:lineRule="auto"/>
        <w:rPr>
          <w:sz w:val="24"/>
          <w:szCs w:val="24"/>
        </w:rPr>
      </w:pPr>
      <w:r w:rsidRPr="000D106C">
        <w:rPr>
          <w:sz w:val="24"/>
          <w:szCs w:val="24"/>
        </w:rPr>
        <w:t xml:space="preserve">Home values have increased </w:t>
      </w:r>
      <w:r w:rsidR="007B4B88" w:rsidRPr="000D106C">
        <w:rPr>
          <w:sz w:val="24"/>
          <w:szCs w:val="24"/>
        </w:rPr>
        <w:t>substantially.</w:t>
      </w:r>
      <w:r w:rsidRPr="000D106C">
        <w:rPr>
          <w:sz w:val="24"/>
          <w:szCs w:val="24"/>
        </w:rPr>
        <w:t xml:space="preserve"> </w:t>
      </w:r>
    </w:p>
    <w:p w14:paraId="05B49E9E" w14:textId="5547FB76" w:rsidR="000D106C" w:rsidRPr="000D106C" w:rsidRDefault="000D106C" w:rsidP="00C00B8A">
      <w:pPr>
        <w:numPr>
          <w:ilvl w:val="0"/>
          <w:numId w:val="11"/>
        </w:numPr>
        <w:spacing w:after="0" w:line="240" w:lineRule="auto"/>
        <w:rPr>
          <w:sz w:val="24"/>
          <w:szCs w:val="24"/>
        </w:rPr>
      </w:pPr>
      <w:r w:rsidRPr="000D106C">
        <w:rPr>
          <w:sz w:val="24"/>
          <w:szCs w:val="24"/>
        </w:rPr>
        <w:t xml:space="preserve">Wage garnishment is largely </w:t>
      </w:r>
      <w:r w:rsidR="007B4B88" w:rsidRPr="000D106C">
        <w:rPr>
          <w:sz w:val="24"/>
          <w:szCs w:val="24"/>
        </w:rPr>
        <w:t>unavailable.</w:t>
      </w:r>
      <w:r w:rsidRPr="000D106C">
        <w:rPr>
          <w:sz w:val="24"/>
          <w:szCs w:val="24"/>
        </w:rPr>
        <w:t xml:space="preserve"> </w:t>
      </w:r>
    </w:p>
    <w:p w14:paraId="7D35CF30" w14:textId="77777777" w:rsidR="000D106C" w:rsidRPr="000D106C" w:rsidRDefault="000D106C" w:rsidP="00C00B8A">
      <w:pPr>
        <w:spacing w:after="0" w:line="240" w:lineRule="auto"/>
        <w:rPr>
          <w:sz w:val="24"/>
          <w:szCs w:val="24"/>
        </w:rPr>
      </w:pPr>
      <w:r w:rsidRPr="000D106C">
        <w:rPr>
          <w:sz w:val="24"/>
          <w:szCs w:val="24"/>
        </w:rPr>
        <w:t>The result is that many homeowners have non-exempt equity exposure without immediate collection pressure.</w:t>
      </w:r>
    </w:p>
    <w:p w14:paraId="145A62B2" w14:textId="77777777" w:rsidR="000D106C" w:rsidRPr="000D106C" w:rsidRDefault="000D106C" w:rsidP="00C00B8A">
      <w:pPr>
        <w:spacing w:after="0" w:line="240" w:lineRule="auto"/>
        <w:rPr>
          <w:sz w:val="24"/>
          <w:szCs w:val="24"/>
        </w:rPr>
      </w:pPr>
      <w:r w:rsidRPr="000D106C">
        <w:rPr>
          <w:sz w:val="24"/>
          <w:szCs w:val="24"/>
        </w:rPr>
        <w:t>In this environment:</w:t>
      </w:r>
    </w:p>
    <w:p w14:paraId="6A88FCAF" w14:textId="77777777" w:rsidR="000D106C" w:rsidRPr="000D106C" w:rsidRDefault="000D106C" w:rsidP="00C00B8A">
      <w:pPr>
        <w:spacing w:after="0" w:line="240" w:lineRule="auto"/>
        <w:rPr>
          <w:sz w:val="24"/>
          <w:szCs w:val="24"/>
        </w:rPr>
      </w:pPr>
      <w:r w:rsidRPr="000D106C">
        <w:rPr>
          <w:sz w:val="24"/>
          <w:szCs w:val="24"/>
        </w:rPr>
        <w:t>Chapter 7 is often inadvisable—not merely unaffordable.</w:t>
      </w:r>
    </w:p>
    <w:p w14:paraId="2452C45B" w14:textId="77777777" w:rsidR="000D106C" w:rsidRPr="000D106C" w:rsidRDefault="000D106C" w:rsidP="00C00B8A">
      <w:pPr>
        <w:spacing w:after="0" w:line="240" w:lineRule="auto"/>
        <w:rPr>
          <w:sz w:val="24"/>
          <w:szCs w:val="24"/>
        </w:rPr>
      </w:pPr>
      <w:r w:rsidRPr="000D106C">
        <w:rPr>
          <w:sz w:val="24"/>
          <w:szCs w:val="24"/>
        </w:rPr>
        <w:t>Accordingly, Attorney Fee Only Chapter 13 cases serve as both:</w:t>
      </w:r>
    </w:p>
    <w:p w14:paraId="1643976D" w14:textId="77777777" w:rsidR="000D106C" w:rsidRPr="000D106C" w:rsidRDefault="000D106C" w:rsidP="00C00B8A">
      <w:pPr>
        <w:numPr>
          <w:ilvl w:val="0"/>
          <w:numId w:val="12"/>
        </w:numPr>
        <w:spacing w:after="0" w:line="240" w:lineRule="auto"/>
        <w:rPr>
          <w:sz w:val="24"/>
          <w:szCs w:val="24"/>
        </w:rPr>
      </w:pPr>
      <w:r w:rsidRPr="000D106C">
        <w:rPr>
          <w:sz w:val="24"/>
          <w:szCs w:val="24"/>
        </w:rPr>
        <w:t xml:space="preserve">The asset protection mechanism (addressing non-exempt equity), and </w:t>
      </w:r>
    </w:p>
    <w:p w14:paraId="3A14E533" w14:textId="0608498F" w:rsidR="000D106C" w:rsidRPr="000D106C" w:rsidRDefault="000D106C" w:rsidP="00C00B8A">
      <w:pPr>
        <w:numPr>
          <w:ilvl w:val="0"/>
          <w:numId w:val="12"/>
        </w:numPr>
        <w:spacing w:after="0" w:line="240" w:lineRule="auto"/>
        <w:rPr>
          <w:sz w:val="24"/>
          <w:szCs w:val="24"/>
        </w:rPr>
      </w:pPr>
      <w:r w:rsidRPr="000D106C">
        <w:rPr>
          <w:sz w:val="24"/>
          <w:szCs w:val="24"/>
        </w:rPr>
        <w:t xml:space="preserve">The access-to-counsel mechanism (allowing fees to be paid over </w:t>
      </w:r>
      <w:r w:rsidR="002C00AC" w:rsidRPr="002C00AC">
        <w:rPr>
          <w:sz w:val="24"/>
          <w:szCs w:val="24"/>
        </w:rPr>
        <w:t>an extended period.</w:t>
      </w:r>
      <w:r w:rsidRPr="000D106C">
        <w:rPr>
          <w:sz w:val="24"/>
          <w:szCs w:val="24"/>
        </w:rPr>
        <w:t xml:space="preserve">) </w:t>
      </w:r>
    </w:p>
    <w:p w14:paraId="4EA99CA2" w14:textId="480ED23D" w:rsidR="000D106C" w:rsidRPr="000D106C" w:rsidRDefault="000D106C" w:rsidP="00C00B8A">
      <w:pPr>
        <w:spacing w:after="0" w:line="240" w:lineRule="auto"/>
        <w:rPr>
          <w:sz w:val="24"/>
          <w:szCs w:val="24"/>
        </w:rPr>
      </w:pPr>
      <w:r w:rsidRPr="000D106C">
        <w:rPr>
          <w:sz w:val="24"/>
          <w:szCs w:val="24"/>
        </w:rPr>
        <w:lastRenderedPageBreak/>
        <w:t xml:space="preserve">Here, AFO Chapter 13 is not a </w:t>
      </w:r>
      <w:r w:rsidR="00BD1F53" w:rsidRPr="00122E1C">
        <w:rPr>
          <w:sz w:val="24"/>
          <w:szCs w:val="24"/>
        </w:rPr>
        <w:t xml:space="preserve">workaround, </w:t>
      </w:r>
      <w:r w:rsidRPr="000D106C">
        <w:rPr>
          <w:sz w:val="24"/>
          <w:szCs w:val="24"/>
        </w:rPr>
        <w:t>it is the correct structural response to state law.</w:t>
      </w:r>
    </w:p>
    <w:p w14:paraId="3942DA0C" w14:textId="194743AB" w:rsidR="00BD1F53" w:rsidRPr="00BD1F53" w:rsidRDefault="00BD1F53" w:rsidP="00C00B8A">
      <w:pPr>
        <w:spacing w:after="0" w:line="240" w:lineRule="auto"/>
        <w:rPr>
          <w:b/>
          <w:bCs/>
          <w:sz w:val="24"/>
          <w:szCs w:val="24"/>
        </w:rPr>
      </w:pPr>
      <w:r w:rsidRPr="00122E1C">
        <w:rPr>
          <w:b/>
          <w:bCs/>
          <w:sz w:val="24"/>
          <w:szCs w:val="24"/>
        </w:rPr>
        <w:t>B</w:t>
      </w:r>
      <w:r w:rsidRPr="00BD1F53">
        <w:rPr>
          <w:b/>
          <w:bCs/>
          <w:sz w:val="24"/>
          <w:szCs w:val="24"/>
        </w:rPr>
        <w:t>. Texas: Strong Homestead, No Garnishment → Reduced Urgency</w:t>
      </w:r>
    </w:p>
    <w:p w14:paraId="54B3C3F8" w14:textId="77777777" w:rsidR="00BD1F53" w:rsidRPr="00BD1F53" w:rsidRDefault="00BD1F53" w:rsidP="00C00B8A">
      <w:pPr>
        <w:spacing w:after="0" w:line="240" w:lineRule="auto"/>
        <w:rPr>
          <w:sz w:val="24"/>
          <w:szCs w:val="24"/>
        </w:rPr>
      </w:pPr>
      <w:r w:rsidRPr="00BD1F53">
        <w:rPr>
          <w:sz w:val="24"/>
          <w:szCs w:val="24"/>
        </w:rPr>
        <w:t>Texas presents the opposite model:</w:t>
      </w:r>
    </w:p>
    <w:p w14:paraId="0F71D11F" w14:textId="77777777" w:rsidR="00BD1F53" w:rsidRPr="00BD1F53" w:rsidRDefault="00BD1F53" w:rsidP="00C00B8A">
      <w:pPr>
        <w:numPr>
          <w:ilvl w:val="0"/>
          <w:numId w:val="13"/>
        </w:numPr>
        <w:spacing w:after="0" w:line="240" w:lineRule="auto"/>
        <w:rPr>
          <w:sz w:val="24"/>
          <w:szCs w:val="24"/>
        </w:rPr>
      </w:pPr>
      <w:r w:rsidRPr="00BD1F53">
        <w:rPr>
          <w:sz w:val="24"/>
          <w:szCs w:val="24"/>
        </w:rPr>
        <w:t xml:space="preserve">Effectively unlimited homestead exemption </w:t>
      </w:r>
    </w:p>
    <w:p w14:paraId="1C704571" w14:textId="77777777" w:rsidR="00BD1F53" w:rsidRPr="00BD1F53" w:rsidRDefault="00BD1F53" w:rsidP="00C00B8A">
      <w:pPr>
        <w:numPr>
          <w:ilvl w:val="0"/>
          <w:numId w:val="13"/>
        </w:numPr>
        <w:spacing w:after="0" w:line="240" w:lineRule="auto"/>
        <w:rPr>
          <w:sz w:val="24"/>
          <w:szCs w:val="24"/>
        </w:rPr>
      </w:pPr>
      <w:r w:rsidRPr="00BD1F53">
        <w:rPr>
          <w:sz w:val="24"/>
          <w:szCs w:val="24"/>
        </w:rPr>
        <w:t xml:space="preserve">No wage garnishment for most debts </w:t>
      </w:r>
    </w:p>
    <w:p w14:paraId="1A24B5DA" w14:textId="77777777" w:rsidR="00BD1F53" w:rsidRPr="00BD1F53" w:rsidRDefault="00BD1F53" w:rsidP="00C00B8A">
      <w:pPr>
        <w:spacing w:after="0" w:line="240" w:lineRule="auto"/>
        <w:rPr>
          <w:sz w:val="24"/>
          <w:szCs w:val="24"/>
        </w:rPr>
      </w:pPr>
      <w:r w:rsidRPr="00BD1F53">
        <w:rPr>
          <w:sz w:val="24"/>
          <w:szCs w:val="24"/>
        </w:rPr>
        <w:t>Debtors are often protected from both:</w:t>
      </w:r>
    </w:p>
    <w:p w14:paraId="0D612FB6" w14:textId="77777777" w:rsidR="00BD1F53" w:rsidRPr="00BD1F53" w:rsidRDefault="00BD1F53" w:rsidP="00C00B8A">
      <w:pPr>
        <w:numPr>
          <w:ilvl w:val="0"/>
          <w:numId w:val="14"/>
        </w:numPr>
        <w:spacing w:after="0" w:line="240" w:lineRule="auto"/>
        <w:rPr>
          <w:sz w:val="24"/>
          <w:szCs w:val="24"/>
        </w:rPr>
      </w:pPr>
      <w:r w:rsidRPr="00BD1F53">
        <w:rPr>
          <w:sz w:val="24"/>
          <w:szCs w:val="24"/>
        </w:rPr>
        <w:t xml:space="preserve">Asset liquidation, and </w:t>
      </w:r>
    </w:p>
    <w:p w14:paraId="646FFF7B" w14:textId="77777777" w:rsidR="00BD1F53" w:rsidRPr="00BD1F53" w:rsidRDefault="00BD1F53" w:rsidP="00C00B8A">
      <w:pPr>
        <w:numPr>
          <w:ilvl w:val="0"/>
          <w:numId w:val="14"/>
        </w:numPr>
        <w:spacing w:after="0" w:line="240" w:lineRule="auto"/>
        <w:rPr>
          <w:sz w:val="24"/>
          <w:szCs w:val="24"/>
        </w:rPr>
      </w:pPr>
      <w:r w:rsidRPr="00BD1F53">
        <w:rPr>
          <w:sz w:val="24"/>
          <w:szCs w:val="24"/>
        </w:rPr>
        <w:t xml:space="preserve">Immediate income seizure </w:t>
      </w:r>
    </w:p>
    <w:p w14:paraId="37A8EB86" w14:textId="77777777" w:rsidR="00BD1F53" w:rsidRPr="00BD1F53" w:rsidRDefault="00BD1F53" w:rsidP="00C00B8A">
      <w:pPr>
        <w:spacing w:after="0" w:line="240" w:lineRule="auto"/>
        <w:rPr>
          <w:sz w:val="24"/>
          <w:szCs w:val="24"/>
        </w:rPr>
      </w:pPr>
      <w:r w:rsidRPr="00BD1F53">
        <w:rPr>
          <w:sz w:val="24"/>
          <w:szCs w:val="24"/>
        </w:rPr>
        <w:t>As a result:</w:t>
      </w:r>
    </w:p>
    <w:p w14:paraId="66604559" w14:textId="3E01C080" w:rsidR="00BD1F53" w:rsidRPr="00BD1F53" w:rsidRDefault="00BD1F53" w:rsidP="00C00B8A">
      <w:pPr>
        <w:numPr>
          <w:ilvl w:val="0"/>
          <w:numId w:val="15"/>
        </w:numPr>
        <w:spacing w:after="0" w:line="240" w:lineRule="auto"/>
        <w:rPr>
          <w:sz w:val="24"/>
          <w:szCs w:val="24"/>
        </w:rPr>
      </w:pPr>
      <w:r w:rsidRPr="00BD1F53">
        <w:rPr>
          <w:sz w:val="24"/>
          <w:szCs w:val="24"/>
        </w:rPr>
        <w:t xml:space="preserve">The urgency to file bankruptcy is </w:t>
      </w:r>
      <w:r w:rsidR="003C1261" w:rsidRPr="00BD1F53">
        <w:rPr>
          <w:sz w:val="24"/>
          <w:szCs w:val="24"/>
        </w:rPr>
        <w:t>reduced.</w:t>
      </w:r>
      <w:r w:rsidRPr="00BD1F53">
        <w:rPr>
          <w:sz w:val="24"/>
          <w:szCs w:val="24"/>
        </w:rPr>
        <w:t xml:space="preserve"> </w:t>
      </w:r>
    </w:p>
    <w:p w14:paraId="16516716" w14:textId="0A9789C9" w:rsidR="00BD1F53" w:rsidRPr="00BD1F53" w:rsidRDefault="00BD1F53" w:rsidP="00C00B8A">
      <w:pPr>
        <w:numPr>
          <w:ilvl w:val="0"/>
          <w:numId w:val="15"/>
        </w:numPr>
        <w:spacing w:after="0" w:line="240" w:lineRule="auto"/>
        <w:rPr>
          <w:sz w:val="24"/>
          <w:szCs w:val="24"/>
        </w:rPr>
      </w:pPr>
      <w:r w:rsidRPr="00BD1F53">
        <w:rPr>
          <w:sz w:val="24"/>
          <w:szCs w:val="24"/>
        </w:rPr>
        <w:t xml:space="preserve">Debtors may be able to accumulate funds to pay attorney fees </w:t>
      </w:r>
      <w:r w:rsidR="003C1261" w:rsidRPr="00BD1F53">
        <w:rPr>
          <w:sz w:val="24"/>
          <w:szCs w:val="24"/>
        </w:rPr>
        <w:t>upfront.</w:t>
      </w:r>
      <w:r w:rsidRPr="00BD1F53">
        <w:rPr>
          <w:sz w:val="24"/>
          <w:szCs w:val="24"/>
        </w:rPr>
        <w:t xml:space="preserve"> </w:t>
      </w:r>
    </w:p>
    <w:p w14:paraId="4BEC8538" w14:textId="40FFC9BD" w:rsidR="00BD1F53" w:rsidRPr="00BD1F53" w:rsidRDefault="00BD1F53" w:rsidP="00C00B8A">
      <w:pPr>
        <w:numPr>
          <w:ilvl w:val="0"/>
          <w:numId w:val="15"/>
        </w:numPr>
        <w:spacing w:after="0" w:line="240" w:lineRule="auto"/>
        <w:rPr>
          <w:sz w:val="24"/>
          <w:szCs w:val="24"/>
        </w:rPr>
      </w:pPr>
      <w:r w:rsidRPr="00BD1F53">
        <w:rPr>
          <w:sz w:val="24"/>
          <w:szCs w:val="24"/>
        </w:rPr>
        <w:t xml:space="preserve">The need for bifurcation or alternative fee structures is less </w:t>
      </w:r>
      <w:r w:rsidR="003C1261" w:rsidRPr="00BD1F53">
        <w:rPr>
          <w:sz w:val="24"/>
          <w:szCs w:val="24"/>
        </w:rPr>
        <w:t>acute.</w:t>
      </w:r>
      <w:r w:rsidRPr="00BD1F53">
        <w:rPr>
          <w:sz w:val="24"/>
          <w:szCs w:val="24"/>
        </w:rPr>
        <w:t xml:space="preserve"> </w:t>
      </w:r>
    </w:p>
    <w:p w14:paraId="4BBF8119" w14:textId="77777777" w:rsidR="00BD1F53" w:rsidRPr="00BD1F53" w:rsidRDefault="00BD1F53" w:rsidP="00C00B8A">
      <w:pPr>
        <w:spacing w:after="0" w:line="240" w:lineRule="auto"/>
        <w:rPr>
          <w:sz w:val="24"/>
          <w:szCs w:val="24"/>
        </w:rPr>
      </w:pPr>
      <w:r w:rsidRPr="00BD1F53">
        <w:rPr>
          <w:sz w:val="24"/>
          <w:szCs w:val="24"/>
        </w:rPr>
        <w:t>This demonstrates that where both asset protection and income protection are strong, the access problem shifts from structural urgency to timing flexibility.</w:t>
      </w:r>
    </w:p>
    <w:p w14:paraId="520D6B99" w14:textId="77777777" w:rsidR="00B402D3" w:rsidRDefault="00B402D3" w:rsidP="00C00B8A">
      <w:pPr>
        <w:spacing w:after="0" w:line="240" w:lineRule="auto"/>
        <w:rPr>
          <w:b/>
          <w:bCs/>
          <w:sz w:val="24"/>
          <w:szCs w:val="24"/>
        </w:rPr>
      </w:pPr>
    </w:p>
    <w:p w14:paraId="7F4CE854" w14:textId="5DE91668" w:rsidR="00BD1F53" w:rsidRPr="00BD1F53" w:rsidRDefault="00BD1F53" w:rsidP="00C00B8A">
      <w:pPr>
        <w:spacing w:after="0" w:line="240" w:lineRule="auto"/>
        <w:rPr>
          <w:b/>
          <w:bCs/>
          <w:sz w:val="24"/>
          <w:szCs w:val="24"/>
        </w:rPr>
      </w:pPr>
      <w:r w:rsidRPr="00BD1F53">
        <w:rPr>
          <w:b/>
          <w:bCs/>
          <w:sz w:val="24"/>
          <w:szCs w:val="24"/>
        </w:rPr>
        <w:t>C. Michigan and Minnesota: Moderate Exemptions + Garnishment → Need for Flexibility</w:t>
      </w:r>
    </w:p>
    <w:p w14:paraId="4479D966" w14:textId="77777777" w:rsidR="00BD1F53" w:rsidRPr="00BD1F53" w:rsidRDefault="00BD1F53" w:rsidP="00C00B8A">
      <w:pPr>
        <w:spacing w:after="0" w:line="240" w:lineRule="auto"/>
        <w:rPr>
          <w:sz w:val="24"/>
          <w:szCs w:val="24"/>
        </w:rPr>
      </w:pPr>
      <w:r w:rsidRPr="00BD1F53">
        <w:rPr>
          <w:sz w:val="24"/>
          <w:szCs w:val="24"/>
        </w:rPr>
        <w:t>In jurisdictions such as Michigan and Minnesota:</w:t>
      </w:r>
    </w:p>
    <w:p w14:paraId="1195F3B3" w14:textId="0A0C5FFA" w:rsidR="00BD1F53" w:rsidRPr="00BD1F53" w:rsidRDefault="00BD1F53" w:rsidP="00C00B8A">
      <w:pPr>
        <w:numPr>
          <w:ilvl w:val="0"/>
          <w:numId w:val="16"/>
        </w:numPr>
        <w:spacing w:after="0" w:line="240" w:lineRule="auto"/>
        <w:rPr>
          <w:sz w:val="24"/>
          <w:szCs w:val="24"/>
        </w:rPr>
      </w:pPr>
      <w:r w:rsidRPr="00BD1F53">
        <w:rPr>
          <w:sz w:val="24"/>
          <w:szCs w:val="24"/>
        </w:rPr>
        <w:t xml:space="preserve">Homestead exemptions are </w:t>
      </w:r>
      <w:r w:rsidR="00AB2FEA">
        <w:rPr>
          <w:sz w:val="24"/>
          <w:szCs w:val="24"/>
        </w:rPr>
        <w:t xml:space="preserve">adequate to protect the median </w:t>
      </w:r>
      <w:r w:rsidR="003C1261">
        <w:rPr>
          <w:sz w:val="24"/>
          <w:szCs w:val="24"/>
        </w:rPr>
        <w:t>home.</w:t>
      </w:r>
      <w:r w:rsidRPr="00BD1F53">
        <w:rPr>
          <w:sz w:val="24"/>
          <w:szCs w:val="24"/>
        </w:rPr>
        <w:t xml:space="preserve"> </w:t>
      </w:r>
    </w:p>
    <w:p w14:paraId="40B2E51B" w14:textId="5C01408B" w:rsidR="00BD1F53" w:rsidRPr="00BD1F53" w:rsidRDefault="00BD1F53" w:rsidP="00C00B8A">
      <w:pPr>
        <w:numPr>
          <w:ilvl w:val="0"/>
          <w:numId w:val="16"/>
        </w:numPr>
        <w:spacing w:after="0" w:line="240" w:lineRule="auto"/>
        <w:rPr>
          <w:sz w:val="24"/>
          <w:szCs w:val="24"/>
        </w:rPr>
      </w:pPr>
      <w:r w:rsidRPr="00BD1F53">
        <w:rPr>
          <w:sz w:val="24"/>
          <w:szCs w:val="24"/>
        </w:rPr>
        <w:t xml:space="preserve">Wage garnishment is </w:t>
      </w:r>
      <w:r w:rsidR="003C1261" w:rsidRPr="00BD1F53">
        <w:rPr>
          <w:sz w:val="24"/>
          <w:szCs w:val="24"/>
        </w:rPr>
        <w:t>permitted.</w:t>
      </w:r>
      <w:r w:rsidRPr="00BD1F53">
        <w:rPr>
          <w:sz w:val="24"/>
          <w:szCs w:val="24"/>
        </w:rPr>
        <w:t xml:space="preserve"> </w:t>
      </w:r>
    </w:p>
    <w:p w14:paraId="2A0C16CD" w14:textId="5FCF8621" w:rsidR="00BD1F53" w:rsidRPr="00BD1F53" w:rsidRDefault="00BD1F53" w:rsidP="00C00B8A">
      <w:pPr>
        <w:spacing w:after="0" w:line="240" w:lineRule="auto"/>
        <w:rPr>
          <w:sz w:val="24"/>
          <w:szCs w:val="24"/>
        </w:rPr>
      </w:pPr>
      <w:r w:rsidRPr="00BD1F53">
        <w:rPr>
          <w:sz w:val="24"/>
          <w:szCs w:val="24"/>
        </w:rPr>
        <w:t xml:space="preserve">This creates a different </w:t>
      </w:r>
      <w:r w:rsidR="003C1261" w:rsidRPr="00BD1F53">
        <w:rPr>
          <w:sz w:val="24"/>
          <w:szCs w:val="24"/>
        </w:rPr>
        <w:t>dynamic pressure</w:t>
      </w:r>
      <w:r w:rsidRPr="00BD1F53">
        <w:rPr>
          <w:sz w:val="24"/>
          <w:szCs w:val="24"/>
        </w:rPr>
        <w:t>:</w:t>
      </w:r>
    </w:p>
    <w:p w14:paraId="2CD36FB8" w14:textId="43D56D46" w:rsidR="00BD1F53" w:rsidRPr="00BD1F53" w:rsidRDefault="00BD1F53" w:rsidP="00C00B8A">
      <w:pPr>
        <w:numPr>
          <w:ilvl w:val="0"/>
          <w:numId w:val="17"/>
        </w:numPr>
        <w:spacing w:after="0" w:line="240" w:lineRule="auto"/>
        <w:rPr>
          <w:sz w:val="24"/>
          <w:szCs w:val="24"/>
        </w:rPr>
      </w:pPr>
      <w:r w:rsidRPr="00BD1F53">
        <w:rPr>
          <w:sz w:val="24"/>
          <w:szCs w:val="24"/>
        </w:rPr>
        <w:t xml:space="preserve">Debtors face ongoing wage </w:t>
      </w:r>
      <w:r w:rsidR="007B4B88" w:rsidRPr="00BD1F53">
        <w:rPr>
          <w:sz w:val="24"/>
          <w:szCs w:val="24"/>
        </w:rPr>
        <w:t>seizure.</w:t>
      </w:r>
      <w:r w:rsidRPr="00BD1F53">
        <w:rPr>
          <w:sz w:val="24"/>
          <w:szCs w:val="24"/>
        </w:rPr>
        <w:t xml:space="preserve"> </w:t>
      </w:r>
    </w:p>
    <w:p w14:paraId="4671B6FE" w14:textId="77777777" w:rsidR="00BD1F53" w:rsidRPr="00BD1F53" w:rsidRDefault="00BD1F53" w:rsidP="00C00B8A">
      <w:pPr>
        <w:numPr>
          <w:ilvl w:val="0"/>
          <w:numId w:val="17"/>
        </w:numPr>
        <w:spacing w:after="0" w:line="240" w:lineRule="auto"/>
        <w:rPr>
          <w:sz w:val="24"/>
          <w:szCs w:val="24"/>
        </w:rPr>
      </w:pPr>
      <w:r w:rsidRPr="00BD1F53">
        <w:rPr>
          <w:sz w:val="24"/>
          <w:szCs w:val="24"/>
        </w:rPr>
        <w:t xml:space="preserve">Filing delay results in continuing financial harm </w:t>
      </w:r>
    </w:p>
    <w:p w14:paraId="1385FD40" w14:textId="1222663F" w:rsidR="00BD1F53" w:rsidRPr="00BD1F53" w:rsidRDefault="007B4B88" w:rsidP="00C00B8A">
      <w:pPr>
        <w:numPr>
          <w:ilvl w:val="0"/>
          <w:numId w:val="17"/>
        </w:numPr>
        <w:spacing w:after="0" w:line="240" w:lineRule="auto"/>
        <w:rPr>
          <w:sz w:val="24"/>
          <w:szCs w:val="24"/>
        </w:rPr>
      </w:pPr>
      <w:r w:rsidRPr="00BD1F53">
        <w:rPr>
          <w:sz w:val="24"/>
          <w:szCs w:val="24"/>
        </w:rPr>
        <w:t>Saving</w:t>
      </w:r>
      <w:r w:rsidR="00BD1F53" w:rsidRPr="00BD1F53">
        <w:rPr>
          <w:sz w:val="24"/>
          <w:szCs w:val="24"/>
        </w:rPr>
        <w:t xml:space="preserve"> upfront fees is often </w:t>
      </w:r>
      <w:r w:rsidRPr="00BD1F53">
        <w:rPr>
          <w:sz w:val="24"/>
          <w:szCs w:val="24"/>
        </w:rPr>
        <w:t>impractical.</w:t>
      </w:r>
      <w:r w:rsidR="00BD1F53" w:rsidRPr="00BD1F53">
        <w:rPr>
          <w:sz w:val="24"/>
          <w:szCs w:val="24"/>
        </w:rPr>
        <w:t xml:space="preserve"> </w:t>
      </w:r>
    </w:p>
    <w:p w14:paraId="165144F6" w14:textId="77777777" w:rsidR="00BD1F53" w:rsidRPr="00BD1F53" w:rsidRDefault="00BD1F53" w:rsidP="00C00B8A">
      <w:pPr>
        <w:spacing w:after="0" w:line="240" w:lineRule="auto"/>
        <w:rPr>
          <w:sz w:val="24"/>
          <w:szCs w:val="24"/>
        </w:rPr>
      </w:pPr>
      <w:r w:rsidRPr="00BD1F53">
        <w:rPr>
          <w:sz w:val="24"/>
          <w:szCs w:val="24"/>
        </w:rPr>
        <w:t>In these jurisdictions:</w:t>
      </w:r>
    </w:p>
    <w:p w14:paraId="46CF5A7F" w14:textId="77777777" w:rsidR="00BD1F53" w:rsidRPr="00BD1F53" w:rsidRDefault="00BD1F53" w:rsidP="00C00B8A">
      <w:pPr>
        <w:spacing w:after="0" w:line="240" w:lineRule="auto"/>
        <w:rPr>
          <w:sz w:val="24"/>
          <w:szCs w:val="24"/>
        </w:rPr>
      </w:pPr>
      <w:r w:rsidRPr="00BD1F53">
        <w:rPr>
          <w:b/>
          <w:bCs/>
          <w:sz w:val="24"/>
          <w:szCs w:val="24"/>
        </w:rPr>
        <w:t>Speed of filing becomes critical.</w:t>
      </w:r>
    </w:p>
    <w:p w14:paraId="1BCF9EC5" w14:textId="77777777" w:rsidR="00BD1F53" w:rsidRPr="00BD1F53" w:rsidRDefault="00BD1F53" w:rsidP="00C00B8A">
      <w:pPr>
        <w:spacing w:after="0" w:line="240" w:lineRule="auto"/>
        <w:rPr>
          <w:sz w:val="24"/>
          <w:szCs w:val="24"/>
        </w:rPr>
      </w:pPr>
      <w:r w:rsidRPr="00BD1F53">
        <w:rPr>
          <w:sz w:val="24"/>
          <w:szCs w:val="24"/>
        </w:rPr>
        <w:t>Accordingly, bifurcated Chapter 7 fee arrangements, if properly supervised and regulated, may be essential to providing timely access to relief.</w:t>
      </w:r>
    </w:p>
    <w:p w14:paraId="2275CF21" w14:textId="0E97864D" w:rsidR="009511D9" w:rsidRPr="00122E1C" w:rsidRDefault="00543E94" w:rsidP="00C00B8A">
      <w:pPr>
        <w:pStyle w:val="Heading1"/>
        <w:spacing w:line="240" w:lineRule="auto"/>
        <w:rPr>
          <w:rFonts w:asciiTheme="minorHAnsi" w:hAnsiTheme="minorHAnsi"/>
          <w:sz w:val="24"/>
          <w:szCs w:val="24"/>
        </w:rPr>
      </w:pPr>
      <w:r w:rsidRPr="00122E1C">
        <w:rPr>
          <w:rFonts w:asciiTheme="minorHAnsi" w:hAnsiTheme="minorHAnsi"/>
          <w:sz w:val="24"/>
          <w:szCs w:val="24"/>
        </w:rPr>
        <w:lastRenderedPageBreak/>
        <w:t>VI</w:t>
      </w:r>
      <w:r w:rsidR="009511D9" w:rsidRPr="00122E1C">
        <w:rPr>
          <w:rFonts w:asciiTheme="minorHAnsi" w:hAnsiTheme="minorHAnsi"/>
          <w:sz w:val="24"/>
          <w:szCs w:val="24"/>
        </w:rPr>
        <w:t xml:space="preserve">. Four Options That Courts Could Adopt </w:t>
      </w:r>
    </w:p>
    <w:p w14:paraId="1C97E4FB" w14:textId="77777777" w:rsidR="009511D9" w:rsidRPr="009511D9" w:rsidRDefault="009511D9" w:rsidP="00C00B8A">
      <w:pPr>
        <w:pStyle w:val="Heading1"/>
        <w:spacing w:before="0" w:line="240" w:lineRule="auto"/>
        <w:rPr>
          <w:rFonts w:asciiTheme="minorHAnsi" w:hAnsiTheme="minorHAnsi"/>
          <w:b w:val="0"/>
          <w:bCs w:val="0"/>
          <w:color w:val="auto"/>
          <w:sz w:val="24"/>
          <w:szCs w:val="24"/>
        </w:rPr>
      </w:pPr>
      <w:r w:rsidRPr="009511D9">
        <w:rPr>
          <w:rFonts w:asciiTheme="minorHAnsi" w:hAnsiTheme="minorHAnsi"/>
          <w:b w:val="0"/>
          <w:bCs w:val="0"/>
          <w:color w:val="auto"/>
          <w:sz w:val="24"/>
          <w:szCs w:val="24"/>
        </w:rPr>
        <w:t>Rather than a single statutory solution, reform should explicitly recognize and support four core options:</w:t>
      </w:r>
    </w:p>
    <w:p w14:paraId="0A38294F" w14:textId="77777777" w:rsidR="009511D9" w:rsidRPr="009511D9" w:rsidRDefault="009511D9" w:rsidP="00C00B8A">
      <w:pPr>
        <w:pStyle w:val="Heading1"/>
        <w:spacing w:before="0" w:line="240" w:lineRule="auto"/>
        <w:rPr>
          <w:rFonts w:asciiTheme="minorHAnsi" w:hAnsiTheme="minorHAnsi"/>
          <w:b w:val="0"/>
          <w:bCs w:val="0"/>
          <w:color w:val="auto"/>
          <w:sz w:val="24"/>
          <w:szCs w:val="24"/>
        </w:rPr>
      </w:pPr>
      <w:r w:rsidRPr="009511D9">
        <w:rPr>
          <w:rFonts w:asciiTheme="minorHAnsi" w:hAnsiTheme="minorHAnsi"/>
          <w:b w:val="0"/>
          <w:bCs w:val="0"/>
          <w:color w:val="auto"/>
          <w:sz w:val="24"/>
          <w:szCs w:val="24"/>
        </w:rPr>
        <w:t xml:space="preserve">1. </w:t>
      </w:r>
      <w:r w:rsidRPr="009511D9">
        <w:rPr>
          <w:rFonts w:asciiTheme="minorHAnsi" w:hAnsiTheme="minorHAnsi"/>
          <w:color w:val="auto"/>
          <w:sz w:val="24"/>
          <w:szCs w:val="24"/>
        </w:rPr>
        <w:t>Attorney Fee Only Chapter 13</w:t>
      </w:r>
    </w:p>
    <w:p w14:paraId="4928EEE9" w14:textId="77777777" w:rsidR="00272BD8" w:rsidRPr="00122E1C" w:rsidRDefault="009511D9" w:rsidP="00C00B8A">
      <w:pPr>
        <w:pStyle w:val="Heading1"/>
        <w:numPr>
          <w:ilvl w:val="0"/>
          <w:numId w:val="18"/>
        </w:numPr>
        <w:spacing w:before="0" w:line="240" w:lineRule="auto"/>
        <w:rPr>
          <w:rFonts w:asciiTheme="minorHAnsi" w:hAnsiTheme="minorHAnsi"/>
          <w:b w:val="0"/>
          <w:bCs w:val="0"/>
          <w:color w:val="auto"/>
          <w:sz w:val="24"/>
          <w:szCs w:val="24"/>
        </w:rPr>
      </w:pPr>
      <w:r w:rsidRPr="009511D9">
        <w:rPr>
          <w:rFonts w:asciiTheme="minorHAnsi" w:hAnsiTheme="minorHAnsi"/>
          <w:b w:val="0"/>
          <w:bCs w:val="0"/>
          <w:color w:val="auto"/>
          <w:sz w:val="24"/>
          <w:szCs w:val="24"/>
        </w:rPr>
        <w:t>Best suited for jurisdictions with weak exemptions</w:t>
      </w:r>
    </w:p>
    <w:p w14:paraId="4C7623B6" w14:textId="555AF1E6" w:rsidR="00272BD8" w:rsidRPr="00122E1C" w:rsidRDefault="009511D9" w:rsidP="00C00B8A">
      <w:pPr>
        <w:pStyle w:val="Heading1"/>
        <w:numPr>
          <w:ilvl w:val="0"/>
          <w:numId w:val="18"/>
        </w:numPr>
        <w:spacing w:before="0" w:line="240" w:lineRule="auto"/>
        <w:rPr>
          <w:rFonts w:asciiTheme="minorHAnsi" w:hAnsiTheme="minorHAnsi"/>
          <w:b w:val="0"/>
          <w:bCs w:val="0"/>
          <w:color w:val="auto"/>
          <w:sz w:val="24"/>
          <w:szCs w:val="24"/>
        </w:rPr>
      </w:pPr>
      <w:r w:rsidRPr="009511D9">
        <w:rPr>
          <w:rFonts w:asciiTheme="minorHAnsi" w:hAnsiTheme="minorHAnsi"/>
          <w:b w:val="0"/>
          <w:bCs w:val="0"/>
          <w:color w:val="auto"/>
          <w:sz w:val="24"/>
          <w:szCs w:val="24"/>
        </w:rPr>
        <w:t xml:space="preserve">Allows preservation of assets and payment of fees over </w:t>
      </w:r>
      <w:r w:rsidR="007B4B88" w:rsidRPr="009511D9">
        <w:rPr>
          <w:rFonts w:asciiTheme="minorHAnsi" w:hAnsiTheme="minorHAnsi"/>
          <w:b w:val="0"/>
          <w:bCs w:val="0"/>
          <w:color w:val="auto"/>
          <w:sz w:val="24"/>
          <w:szCs w:val="24"/>
        </w:rPr>
        <w:t>time.</w:t>
      </w:r>
      <w:r w:rsidR="00272BD8" w:rsidRPr="00122E1C">
        <w:rPr>
          <w:rFonts w:asciiTheme="minorHAnsi" w:hAnsiTheme="minorHAnsi"/>
          <w:b w:val="0"/>
          <w:bCs w:val="0"/>
          <w:color w:val="auto"/>
          <w:sz w:val="24"/>
          <w:szCs w:val="24"/>
        </w:rPr>
        <w:t xml:space="preserve"> </w:t>
      </w:r>
    </w:p>
    <w:p w14:paraId="0C6E475F" w14:textId="720DE7C6" w:rsidR="00F64F05" w:rsidRPr="00122E1C" w:rsidRDefault="00272BD8" w:rsidP="00C00B8A">
      <w:pPr>
        <w:pStyle w:val="Heading1"/>
        <w:numPr>
          <w:ilvl w:val="0"/>
          <w:numId w:val="18"/>
        </w:numPr>
        <w:spacing w:before="0" w:line="240" w:lineRule="auto"/>
        <w:rPr>
          <w:rFonts w:asciiTheme="minorHAnsi" w:hAnsiTheme="minorHAnsi"/>
          <w:b w:val="0"/>
          <w:bCs w:val="0"/>
          <w:color w:val="auto"/>
          <w:sz w:val="24"/>
          <w:szCs w:val="24"/>
        </w:rPr>
      </w:pPr>
      <w:r w:rsidRPr="00122E1C">
        <w:rPr>
          <w:rFonts w:asciiTheme="minorHAnsi" w:hAnsiTheme="minorHAnsi"/>
          <w:b w:val="0"/>
          <w:bCs w:val="0"/>
          <w:color w:val="auto"/>
          <w:sz w:val="24"/>
          <w:szCs w:val="24"/>
        </w:rPr>
        <w:t>Presumption of conversion to Chapter 7 rather than dismissal for default in payment.</w:t>
      </w:r>
    </w:p>
    <w:p w14:paraId="648483FE" w14:textId="0C17D3EA" w:rsidR="00F64F05" w:rsidRPr="009511D9" w:rsidRDefault="009511D9" w:rsidP="00C00B8A">
      <w:pPr>
        <w:pStyle w:val="Heading1"/>
        <w:numPr>
          <w:ilvl w:val="0"/>
          <w:numId w:val="18"/>
        </w:numPr>
        <w:spacing w:before="0" w:line="240" w:lineRule="auto"/>
        <w:rPr>
          <w:rFonts w:asciiTheme="minorHAnsi" w:hAnsiTheme="minorHAnsi"/>
          <w:sz w:val="24"/>
          <w:szCs w:val="24"/>
        </w:rPr>
      </w:pPr>
      <w:r w:rsidRPr="009511D9">
        <w:rPr>
          <w:rFonts w:asciiTheme="minorHAnsi" w:hAnsiTheme="minorHAnsi"/>
          <w:b w:val="0"/>
          <w:bCs w:val="0"/>
          <w:color w:val="auto"/>
          <w:sz w:val="24"/>
          <w:szCs w:val="24"/>
        </w:rPr>
        <w:t xml:space="preserve">Already integrated into local practice in many districts </w:t>
      </w:r>
    </w:p>
    <w:p w14:paraId="6AE435A9" w14:textId="3C5EB5BE" w:rsidR="009511D9" w:rsidRPr="009511D9" w:rsidRDefault="009511D9" w:rsidP="00C00B8A">
      <w:pPr>
        <w:pStyle w:val="Heading1"/>
        <w:spacing w:before="0" w:line="240" w:lineRule="auto"/>
        <w:rPr>
          <w:rFonts w:asciiTheme="minorHAnsi" w:hAnsiTheme="minorHAnsi"/>
          <w:color w:val="auto"/>
          <w:sz w:val="24"/>
          <w:szCs w:val="24"/>
        </w:rPr>
      </w:pPr>
      <w:r w:rsidRPr="009511D9">
        <w:rPr>
          <w:rFonts w:asciiTheme="minorHAnsi" w:hAnsiTheme="minorHAnsi"/>
          <w:b w:val="0"/>
          <w:bCs w:val="0"/>
          <w:color w:val="auto"/>
          <w:sz w:val="24"/>
          <w:szCs w:val="24"/>
        </w:rPr>
        <w:t xml:space="preserve">2. </w:t>
      </w:r>
      <w:r w:rsidRPr="009511D9">
        <w:rPr>
          <w:rFonts w:asciiTheme="minorHAnsi" w:hAnsiTheme="minorHAnsi"/>
          <w:color w:val="auto"/>
          <w:sz w:val="24"/>
          <w:szCs w:val="24"/>
        </w:rPr>
        <w:t xml:space="preserve">Bifurcated Chapter 7 (With Oversight and </w:t>
      </w:r>
      <w:r w:rsidR="003E2B4B" w:rsidRPr="00122E1C">
        <w:rPr>
          <w:rFonts w:asciiTheme="minorHAnsi" w:hAnsiTheme="minorHAnsi"/>
          <w:color w:val="auto"/>
          <w:sz w:val="24"/>
          <w:szCs w:val="24"/>
        </w:rPr>
        <w:t xml:space="preserve">a Prohibition on </w:t>
      </w:r>
      <w:r w:rsidRPr="009511D9">
        <w:rPr>
          <w:rFonts w:asciiTheme="minorHAnsi" w:hAnsiTheme="minorHAnsi"/>
          <w:color w:val="auto"/>
          <w:sz w:val="24"/>
          <w:szCs w:val="24"/>
        </w:rPr>
        <w:t>Factoring)</w:t>
      </w:r>
    </w:p>
    <w:p w14:paraId="4FEB7653" w14:textId="3FA6C217" w:rsidR="009511D9" w:rsidRPr="009511D9" w:rsidRDefault="009511D9" w:rsidP="00C00B8A">
      <w:pPr>
        <w:pStyle w:val="Heading1"/>
        <w:numPr>
          <w:ilvl w:val="0"/>
          <w:numId w:val="19"/>
        </w:numPr>
        <w:spacing w:before="0" w:line="240" w:lineRule="auto"/>
        <w:rPr>
          <w:rFonts w:asciiTheme="minorHAnsi" w:hAnsiTheme="minorHAnsi"/>
          <w:b w:val="0"/>
          <w:bCs w:val="0"/>
          <w:color w:val="auto"/>
          <w:sz w:val="24"/>
          <w:szCs w:val="24"/>
        </w:rPr>
      </w:pPr>
      <w:r w:rsidRPr="009511D9">
        <w:rPr>
          <w:rFonts w:asciiTheme="minorHAnsi" w:hAnsiTheme="minorHAnsi"/>
          <w:b w:val="0"/>
          <w:bCs w:val="0"/>
          <w:color w:val="auto"/>
          <w:sz w:val="24"/>
          <w:szCs w:val="24"/>
        </w:rPr>
        <w:t xml:space="preserve">Appropriate where urgency is driven by garnishment or collection </w:t>
      </w:r>
      <w:r w:rsidR="007B4B88" w:rsidRPr="009511D9">
        <w:rPr>
          <w:rFonts w:asciiTheme="minorHAnsi" w:hAnsiTheme="minorHAnsi"/>
          <w:b w:val="0"/>
          <w:bCs w:val="0"/>
          <w:color w:val="auto"/>
          <w:sz w:val="24"/>
          <w:szCs w:val="24"/>
        </w:rPr>
        <w:t>pressure.</w:t>
      </w:r>
      <w:r w:rsidRPr="009511D9">
        <w:rPr>
          <w:rFonts w:asciiTheme="minorHAnsi" w:hAnsiTheme="minorHAnsi"/>
          <w:b w:val="0"/>
          <w:bCs w:val="0"/>
          <w:color w:val="auto"/>
          <w:sz w:val="24"/>
          <w:szCs w:val="24"/>
        </w:rPr>
        <w:t xml:space="preserve"> </w:t>
      </w:r>
    </w:p>
    <w:p w14:paraId="17273794" w14:textId="77777777" w:rsidR="009511D9" w:rsidRPr="009511D9" w:rsidRDefault="009511D9" w:rsidP="00C00B8A">
      <w:pPr>
        <w:pStyle w:val="Heading1"/>
        <w:numPr>
          <w:ilvl w:val="0"/>
          <w:numId w:val="19"/>
        </w:numPr>
        <w:spacing w:before="0" w:line="240" w:lineRule="auto"/>
        <w:rPr>
          <w:rFonts w:asciiTheme="minorHAnsi" w:hAnsiTheme="minorHAnsi"/>
          <w:b w:val="0"/>
          <w:bCs w:val="0"/>
          <w:color w:val="auto"/>
          <w:sz w:val="24"/>
          <w:szCs w:val="24"/>
        </w:rPr>
      </w:pPr>
      <w:r w:rsidRPr="009511D9">
        <w:rPr>
          <w:rFonts w:asciiTheme="minorHAnsi" w:hAnsiTheme="minorHAnsi"/>
          <w:b w:val="0"/>
          <w:bCs w:val="0"/>
          <w:color w:val="auto"/>
          <w:sz w:val="24"/>
          <w:szCs w:val="24"/>
        </w:rPr>
        <w:t xml:space="preserve">Must include: </w:t>
      </w:r>
    </w:p>
    <w:p w14:paraId="568BF20B" w14:textId="77777777" w:rsidR="009511D9" w:rsidRPr="009511D9" w:rsidRDefault="009511D9" w:rsidP="00C00B8A">
      <w:pPr>
        <w:pStyle w:val="Heading1"/>
        <w:numPr>
          <w:ilvl w:val="1"/>
          <w:numId w:val="19"/>
        </w:numPr>
        <w:spacing w:before="0" w:line="240" w:lineRule="auto"/>
        <w:rPr>
          <w:rFonts w:asciiTheme="minorHAnsi" w:hAnsiTheme="minorHAnsi"/>
          <w:b w:val="0"/>
          <w:bCs w:val="0"/>
          <w:color w:val="auto"/>
          <w:sz w:val="24"/>
          <w:szCs w:val="24"/>
        </w:rPr>
      </w:pPr>
      <w:r w:rsidRPr="009511D9">
        <w:rPr>
          <w:rFonts w:asciiTheme="minorHAnsi" w:hAnsiTheme="minorHAnsi"/>
          <w:b w:val="0"/>
          <w:bCs w:val="0"/>
          <w:color w:val="auto"/>
          <w:sz w:val="24"/>
          <w:szCs w:val="24"/>
        </w:rPr>
        <w:t xml:space="preserve">Full disclosure </w:t>
      </w:r>
    </w:p>
    <w:p w14:paraId="51D18290" w14:textId="77777777" w:rsidR="009511D9" w:rsidRPr="009511D9" w:rsidRDefault="009511D9" w:rsidP="00C00B8A">
      <w:pPr>
        <w:pStyle w:val="Heading1"/>
        <w:numPr>
          <w:ilvl w:val="1"/>
          <w:numId w:val="19"/>
        </w:numPr>
        <w:spacing w:before="0" w:line="240" w:lineRule="auto"/>
        <w:rPr>
          <w:rFonts w:asciiTheme="minorHAnsi" w:hAnsiTheme="minorHAnsi"/>
          <w:b w:val="0"/>
          <w:bCs w:val="0"/>
          <w:color w:val="auto"/>
          <w:sz w:val="24"/>
          <w:szCs w:val="24"/>
        </w:rPr>
      </w:pPr>
      <w:r w:rsidRPr="009511D9">
        <w:rPr>
          <w:rFonts w:asciiTheme="minorHAnsi" w:hAnsiTheme="minorHAnsi"/>
          <w:b w:val="0"/>
          <w:bCs w:val="0"/>
          <w:color w:val="auto"/>
          <w:sz w:val="24"/>
          <w:szCs w:val="24"/>
        </w:rPr>
        <w:t xml:space="preserve">Court review </w:t>
      </w:r>
    </w:p>
    <w:p w14:paraId="79D223D0" w14:textId="42AAA901" w:rsidR="009511D9" w:rsidRPr="009511D9" w:rsidRDefault="009511D9" w:rsidP="00C00B8A">
      <w:pPr>
        <w:pStyle w:val="Heading1"/>
        <w:numPr>
          <w:ilvl w:val="1"/>
          <w:numId w:val="19"/>
        </w:numPr>
        <w:spacing w:before="0" w:line="240" w:lineRule="auto"/>
        <w:rPr>
          <w:rFonts w:asciiTheme="minorHAnsi" w:hAnsiTheme="minorHAnsi"/>
          <w:b w:val="0"/>
          <w:bCs w:val="0"/>
          <w:color w:val="auto"/>
          <w:sz w:val="24"/>
          <w:szCs w:val="24"/>
        </w:rPr>
      </w:pPr>
      <w:r w:rsidRPr="009511D9">
        <w:rPr>
          <w:rFonts w:asciiTheme="minorHAnsi" w:hAnsiTheme="minorHAnsi"/>
          <w:b w:val="0"/>
          <w:bCs w:val="0"/>
          <w:color w:val="auto"/>
          <w:sz w:val="24"/>
          <w:szCs w:val="24"/>
        </w:rPr>
        <w:t xml:space="preserve">Strict prohibition on factoring or fee-sharing </w:t>
      </w:r>
    </w:p>
    <w:p w14:paraId="0DB4DFC5" w14:textId="77777777" w:rsidR="009511D9" w:rsidRPr="009511D9" w:rsidRDefault="009511D9" w:rsidP="00C00B8A">
      <w:pPr>
        <w:pStyle w:val="Heading1"/>
        <w:spacing w:before="0" w:line="240" w:lineRule="auto"/>
        <w:rPr>
          <w:rFonts w:asciiTheme="minorHAnsi" w:hAnsiTheme="minorHAnsi"/>
          <w:b w:val="0"/>
          <w:bCs w:val="0"/>
          <w:color w:val="auto"/>
          <w:sz w:val="24"/>
          <w:szCs w:val="24"/>
        </w:rPr>
      </w:pPr>
      <w:r w:rsidRPr="009511D9">
        <w:rPr>
          <w:rFonts w:asciiTheme="minorHAnsi" w:hAnsiTheme="minorHAnsi"/>
          <w:b w:val="0"/>
          <w:bCs w:val="0"/>
          <w:color w:val="auto"/>
          <w:sz w:val="24"/>
          <w:szCs w:val="24"/>
        </w:rPr>
        <w:t xml:space="preserve">3. </w:t>
      </w:r>
      <w:r w:rsidRPr="009511D9">
        <w:rPr>
          <w:rFonts w:asciiTheme="minorHAnsi" w:hAnsiTheme="minorHAnsi"/>
          <w:color w:val="auto"/>
          <w:sz w:val="24"/>
          <w:szCs w:val="24"/>
        </w:rPr>
        <w:t>Unpaid Chapter 7 Fees with a Co-Signer</w:t>
      </w:r>
    </w:p>
    <w:p w14:paraId="6D83A102" w14:textId="56CFF3A9" w:rsidR="009511D9" w:rsidRPr="009511D9" w:rsidRDefault="009511D9" w:rsidP="00C00B8A">
      <w:pPr>
        <w:pStyle w:val="Heading1"/>
        <w:numPr>
          <w:ilvl w:val="0"/>
          <w:numId w:val="20"/>
        </w:numPr>
        <w:spacing w:before="0" w:line="240" w:lineRule="auto"/>
        <w:rPr>
          <w:rFonts w:asciiTheme="minorHAnsi" w:hAnsiTheme="minorHAnsi"/>
          <w:b w:val="0"/>
          <w:bCs w:val="0"/>
          <w:color w:val="auto"/>
          <w:sz w:val="24"/>
          <w:szCs w:val="24"/>
        </w:rPr>
      </w:pPr>
      <w:r w:rsidRPr="009511D9">
        <w:rPr>
          <w:rFonts w:asciiTheme="minorHAnsi" w:hAnsiTheme="minorHAnsi"/>
          <w:b w:val="0"/>
          <w:bCs w:val="0"/>
          <w:color w:val="auto"/>
          <w:sz w:val="24"/>
          <w:szCs w:val="24"/>
        </w:rPr>
        <w:t xml:space="preserve">Reduces default </w:t>
      </w:r>
      <w:r w:rsidR="007B4B88" w:rsidRPr="009511D9">
        <w:rPr>
          <w:rFonts w:asciiTheme="minorHAnsi" w:hAnsiTheme="minorHAnsi"/>
          <w:b w:val="0"/>
          <w:bCs w:val="0"/>
          <w:color w:val="auto"/>
          <w:sz w:val="24"/>
          <w:szCs w:val="24"/>
        </w:rPr>
        <w:t>risk.</w:t>
      </w:r>
      <w:r w:rsidRPr="009511D9">
        <w:rPr>
          <w:rFonts w:asciiTheme="minorHAnsi" w:hAnsiTheme="minorHAnsi"/>
          <w:b w:val="0"/>
          <w:bCs w:val="0"/>
          <w:color w:val="auto"/>
          <w:sz w:val="24"/>
          <w:szCs w:val="24"/>
        </w:rPr>
        <w:t xml:space="preserve"> </w:t>
      </w:r>
    </w:p>
    <w:p w14:paraId="6DC4AB5B" w14:textId="77777777" w:rsidR="009511D9" w:rsidRPr="009511D9" w:rsidRDefault="009511D9" w:rsidP="00C00B8A">
      <w:pPr>
        <w:pStyle w:val="Heading1"/>
        <w:numPr>
          <w:ilvl w:val="0"/>
          <w:numId w:val="20"/>
        </w:numPr>
        <w:spacing w:before="0" w:line="240" w:lineRule="auto"/>
        <w:rPr>
          <w:rFonts w:asciiTheme="minorHAnsi" w:hAnsiTheme="minorHAnsi"/>
          <w:b w:val="0"/>
          <w:bCs w:val="0"/>
          <w:color w:val="auto"/>
          <w:sz w:val="24"/>
          <w:szCs w:val="24"/>
        </w:rPr>
      </w:pPr>
      <w:r w:rsidRPr="009511D9">
        <w:rPr>
          <w:rFonts w:asciiTheme="minorHAnsi" w:hAnsiTheme="minorHAnsi"/>
          <w:b w:val="0"/>
          <w:bCs w:val="0"/>
          <w:color w:val="auto"/>
          <w:sz w:val="24"/>
          <w:szCs w:val="24"/>
        </w:rPr>
        <w:t xml:space="preserve">Already used successfully in some jurisdictions </w:t>
      </w:r>
    </w:p>
    <w:p w14:paraId="2CEEB5F9" w14:textId="55EB0509" w:rsidR="009511D9" w:rsidRPr="009511D9" w:rsidRDefault="009511D9" w:rsidP="00C00B8A">
      <w:pPr>
        <w:pStyle w:val="Heading1"/>
        <w:spacing w:before="0" w:line="240" w:lineRule="auto"/>
        <w:rPr>
          <w:rFonts w:asciiTheme="minorHAnsi" w:hAnsiTheme="minorHAnsi"/>
          <w:b w:val="0"/>
          <w:bCs w:val="0"/>
          <w:color w:val="auto"/>
          <w:sz w:val="24"/>
          <w:szCs w:val="24"/>
        </w:rPr>
      </w:pPr>
    </w:p>
    <w:p w14:paraId="5CC7EB4B" w14:textId="77777777" w:rsidR="009511D9" w:rsidRPr="009511D9" w:rsidRDefault="009511D9" w:rsidP="00C00B8A">
      <w:pPr>
        <w:pStyle w:val="Heading1"/>
        <w:spacing w:before="0" w:line="240" w:lineRule="auto"/>
        <w:rPr>
          <w:rFonts w:asciiTheme="minorHAnsi" w:hAnsiTheme="minorHAnsi"/>
          <w:b w:val="0"/>
          <w:bCs w:val="0"/>
          <w:color w:val="auto"/>
          <w:sz w:val="24"/>
          <w:szCs w:val="24"/>
        </w:rPr>
      </w:pPr>
      <w:r w:rsidRPr="009511D9">
        <w:rPr>
          <w:rFonts w:asciiTheme="minorHAnsi" w:hAnsiTheme="minorHAnsi"/>
          <w:b w:val="0"/>
          <w:bCs w:val="0"/>
          <w:color w:val="auto"/>
          <w:sz w:val="24"/>
          <w:szCs w:val="24"/>
        </w:rPr>
        <w:t xml:space="preserve">4. </w:t>
      </w:r>
      <w:r w:rsidRPr="009511D9">
        <w:rPr>
          <w:rFonts w:asciiTheme="minorHAnsi" w:hAnsiTheme="minorHAnsi"/>
          <w:color w:val="auto"/>
          <w:sz w:val="24"/>
          <w:szCs w:val="24"/>
        </w:rPr>
        <w:t>Assignment of Cash Assets</w:t>
      </w:r>
    </w:p>
    <w:p w14:paraId="7C9A9447" w14:textId="619C837B" w:rsidR="009511D9" w:rsidRPr="009511D9" w:rsidRDefault="009511D9" w:rsidP="00C00B8A">
      <w:pPr>
        <w:pStyle w:val="Heading1"/>
        <w:numPr>
          <w:ilvl w:val="0"/>
          <w:numId w:val="21"/>
        </w:numPr>
        <w:spacing w:before="0" w:line="240" w:lineRule="auto"/>
        <w:rPr>
          <w:rFonts w:asciiTheme="minorHAnsi" w:hAnsiTheme="minorHAnsi"/>
          <w:b w:val="0"/>
          <w:bCs w:val="0"/>
          <w:color w:val="auto"/>
          <w:sz w:val="24"/>
          <w:szCs w:val="24"/>
        </w:rPr>
      </w:pPr>
      <w:r w:rsidRPr="009511D9">
        <w:rPr>
          <w:rFonts w:asciiTheme="minorHAnsi" w:hAnsiTheme="minorHAnsi"/>
          <w:b w:val="0"/>
          <w:bCs w:val="0"/>
          <w:color w:val="auto"/>
          <w:sz w:val="24"/>
          <w:szCs w:val="24"/>
        </w:rPr>
        <w:t xml:space="preserve">Aligns payment with actual liquidity </w:t>
      </w:r>
      <w:r w:rsidR="007B4B88" w:rsidRPr="009511D9">
        <w:rPr>
          <w:rFonts w:asciiTheme="minorHAnsi" w:hAnsiTheme="minorHAnsi"/>
          <w:b w:val="0"/>
          <w:bCs w:val="0"/>
          <w:color w:val="auto"/>
          <w:sz w:val="24"/>
          <w:szCs w:val="24"/>
        </w:rPr>
        <w:t>events.</w:t>
      </w:r>
      <w:r w:rsidRPr="009511D9">
        <w:rPr>
          <w:rFonts w:asciiTheme="minorHAnsi" w:hAnsiTheme="minorHAnsi"/>
          <w:b w:val="0"/>
          <w:bCs w:val="0"/>
          <w:color w:val="auto"/>
          <w:sz w:val="24"/>
          <w:szCs w:val="24"/>
        </w:rPr>
        <w:t xml:space="preserve"> </w:t>
      </w:r>
    </w:p>
    <w:p w14:paraId="5137678C" w14:textId="77777777" w:rsidR="009511D9" w:rsidRPr="009511D9" w:rsidRDefault="009511D9" w:rsidP="00C00B8A">
      <w:pPr>
        <w:pStyle w:val="Heading1"/>
        <w:numPr>
          <w:ilvl w:val="0"/>
          <w:numId w:val="21"/>
        </w:numPr>
        <w:spacing w:before="0" w:line="240" w:lineRule="auto"/>
        <w:rPr>
          <w:rFonts w:asciiTheme="minorHAnsi" w:hAnsiTheme="minorHAnsi"/>
          <w:b w:val="0"/>
          <w:bCs w:val="0"/>
          <w:color w:val="auto"/>
          <w:sz w:val="24"/>
          <w:szCs w:val="24"/>
        </w:rPr>
      </w:pPr>
      <w:r w:rsidRPr="009511D9">
        <w:rPr>
          <w:rFonts w:asciiTheme="minorHAnsi" w:hAnsiTheme="minorHAnsi"/>
          <w:b w:val="0"/>
          <w:bCs w:val="0"/>
          <w:color w:val="auto"/>
          <w:sz w:val="24"/>
          <w:szCs w:val="24"/>
        </w:rPr>
        <w:t xml:space="preserve">Examples include: </w:t>
      </w:r>
    </w:p>
    <w:p w14:paraId="558C3429" w14:textId="77777777" w:rsidR="009511D9" w:rsidRPr="009511D9" w:rsidRDefault="009511D9" w:rsidP="00C00B8A">
      <w:pPr>
        <w:pStyle w:val="Heading1"/>
        <w:numPr>
          <w:ilvl w:val="1"/>
          <w:numId w:val="21"/>
        </w:numPr>
        <w:spacing w:before="0" w:line="240" w:lineRule="auto"/>
        <w:rPr>
          <w:rFonts w:asciiTheme="minorHAnsi" w:hAnsiTheme="minorHAnsi"/>
          <w:b w:val="0"/>
          <w:bCs w:val="0"/>
          <w:color w:val="auto"/>
          <w:sz w:val="24"/>
          <w:szCs w:val="24"/>
        </w:rPr>
      </w:pPr>
      <w:r w:rsidRPr="009511D9">
        <w:rPr>
          <w:rFonts w:asciiTheme="minorHAnsi" w:hAnsiTheme="minorHAnsi"/>
          <w:b w:val="0"/>
          <w:bCs w:val="0"/>
          <w:color w:val="auto"/>
          <w:sz w:val="24"/>
          <w:szCs w:val="24"/>
        </w:rPr>
        <w:t xml:space="preserve">Recoverable garnished wages </w:t>
      </w:r>
    </w:p>
    <w:p w14:paraId="3B2B0441" w14:textId="1EEF5052" w:rsidR="009511D9" w:rsidRPr="009511D9" w:rsidRDefault="009511D9" w:rsidP="00C00B8A">
      <w:pPr>
        <w:pStyle w:val="Heading1"/>
        <w:numPr>
          <w:ilvl w:val="1"/>
          <w:numId w:val="21"/>
        </w:numPr>
        <w:spacing w:before="0" w:line="240" w:lineRule="auto"/>
        <w:rPr>
          <w:rFonts w:asciiTheme="minorHAnsi" w:hAnsiTheme="minorHAnsi"/>
          <w:sz w:val="24"/>
          <w:szCs w:val="24"/>
        </w:rPr>
      </w:pPr>
      <w:r w:rsidRPr="009511D9">
        <w:rPr>
          <w:rFonts w:asciiTheme="minorHAnsi" w:hAnsiTheme="minorHAnsi"/>
          <w:b w:val="0"/>
          <w:bCs w:val="0"/>
          <w:color w:val="auto"/>
          <w:sz w:val="24"/>
          <w:szCs w:val="24"/>
        </w:rPr>
        <w:t>Pending tax refunds</w:t>
      </w:r>
      <w:r w:rsidR="00272BD8" w:rsidRPr="00122E1C">
        <w:rPr>
          <w:rFonts w:asciiTheme="minorHAnsi" w:hAnsiTheme="minorHAnsi"/>
          <w:b w:val="0"/>
          <w:bCs w:val="0"/>
          <w:color w:val="auto"/>
          <w:sz w:val="24"/>
          <w:szCs w:val="24"/>
        </w:rPr>
        <w:t xml:space="preserve">: </w:t>
      </w:r>
      <w:r w:rsidRPr="009511D9">
        <w:rPr>
          <w:rFonts w:asciiTheme="minorHAnsi" w:hAnsiTheme="minorHAnsi"/>
          <w:b w:val="0"/>
          <w:bCs w:val="0"/>
          <w:color w:val="auto"/>
          <w:sz w:val="24"/>
          <w:szCs w:val="24"/>
        </w:rPr>
        <w:t xml:space="preserve">A </w:t>
      </w:r>
      <w:r w:rsidR="007F6732" w:rsidRPr="00122E1C">
        <w:rPr>
          <w:rFonts w:asciiTheme="minorHAnsi" w:hAnsiTheme="minorHAnsi"/>
          <w:b w:val="0"/>
          <w:bCs w:val="0"/>
          <w:color w:val="auto"/>
          <w:sz w:val="24"/>
          <w:szCs w:val="24"/>
        </w:rPr>
        <w:t xml:space="preserve">possible </w:t>
      </w:r>
      <w:r w:rsidRPr="009511D9">
        <w:rPr>
          <w:rFonts w:asciiTheme="minorHAnsi" w:hAnsiTheme="minorHAnsi"/>
          <w:b w:val="0"/>
          <w:bCs w:val="0"/>
          <w:color w:val="auto"/>
          <w:sz w:val="24"/>
          <w:szCs w:val="24"/>
        </w:rPr>
        <w:t xml:space="preserve">mechanism </w:t>
      </w:r>
      <w:r w:rsidR="007F6732" w:rsidRPr="00122E1C">
        <w:rPr>
          <w:rFonts w:asciiTheme="minorHAnsi" w:hAnsiTheme="minorHAnsi"/>
          <w:b w:val="0"/>
          <w:bCs w:val="0"/>
          <w:color w:val="auto"/>
          <w:sz w:val="24"/>
          <w:szCs w:val="24"/>
        </w:rPr>
        <w:t xml:space="preserve">may </w:t>
      </w:r>
      <w:r w:rsidR="00B402D3" w:rsidRPr="00122E1C">
        <w:rPr>
          <w:rFonts w:asciiTheme="minorHAnsi" w:hAnsiTheme="minorHAnsi"/>
          <w:b w:val="0"/>
          <w:bCs w:val="0"/>
          <w:color w:val="auto"/>
          <w:sz w:val="24"/>
          <w:szCs w:val="24"/>
        </w:rPr>
        <w:t>be the</w:t>
      </w:r>
      <w:r w:rsidRPr="009511D9">
        <w:rPr>
          <w:rFonts w:asciiTheme="minorHAnsi" w:hAnsiTheme="minorHAnsi"/>
          <w:b w:val="0"/>
          <w:bCs w:val="0"/>
          <w:color w:val="auto"/>
          <w:sz w:val="24"/>
          <w:szCs w:val="24"/>
        </w:rPr>
        <w:t xml:space="preserve"> use of IRS Form 8888 to direct tax refunds into an attorney trust account, where funds remain property of the debtor but may be applied toward outstanding attorney fees.</w:t>
      </w:r>
    </w:p>
    <w:p w14:paraId="308C45FE" w14:textId="77777777" w:rsidR="00893483" w:rsidRPr="00122E1C" w:rsidRDefault="00893483" w:rsidP="00C00B8A">
      <w:pPr>
        <w:pStyle w:val="Heading2"/>
        <w:spacing w:line="240" w:lineRule="auto"/>
        <w:rPr>
          <w:rFonts w:asciiTheme="minorHAnsi" w:hAnsiTheme="minorHAnsi"/>
          <w:sz w:val="24"/>
          <w:szCs w:val="24"/>
        </w:rPr>
      </w:pPr>
      <w:r w:rsidRPr="00122E1C">
        <w:rPr>
          <w:rStyle w:val="Strong"/>
          <w:rFonts w:asciiTheme="minorHAnsi" w:hAnsiTheme="minorHAnsi"/>
          <w:b/>
          <w:bCs/>
          <w:sz w:val="24"/>
          <w:szCs w:val="24"/>
        </w:rPr>
        <w:t>Key Insight</w:t>
      </w:r>
    </w:p>
    <w:p w14:paraId="1065E35D" w14:textId="77777777" w:rsidR="00893483" w:rsidRPr="00122E1C" w:rsidRDefault="00893483" w:rsidP="00B402D3">
      <w:pPr>
        <w:pStyle w:val="NormalWeb"/>
        <w:spacing w:after="0" w:afterAutospacing="0"/>
        <w:jc w:val="center"/>
        <w:rPr>
          <w:rFonts w:asciiTheme="minorHAnsi" w:hAnsiTheme="minorHAnsi"/>
        </w:rPr>
      </w:pPr>
      <w:r w:rsidRPr="00122E1C">
        <w:rPr>
          <w:rStyle w:val="Strong"/>
          <w:rFonts w:asciiTheme="minorHAnsi" w:hAnsiTheme="minorHAnsi"/>
        </w:rPr>
        <w:t>No single option is universally appropriate—but each is essential in the right jurisdictional context.</w:t>
      </w:r>
    </w:p>
    <w:p w14:paraId="08E9DD2E" w14:textId="77777777" w:rsidR="00C00B8A" w:rsidRDefault="007F6732" w:rsidP="00C00B8A">
      <w:pPr>
        <w:pStyle w:val="Heading1"/>
        <w:spacing w:before="0" w:line="240" w:lineRule="auto"/>
        <w:rPr>
          <w:rFonts w:asciiTheme="minorHAnsi" w:hAnsiTheme="minorHAnsi"/>
          <w:sz w:val="24"/>
          <w:szCs w:val="24"/>
        </w:rPr>
      </w:pPr>
      <w:r w:rsidRPr="00122E1C">
        <w:rPr>
          <w:rFonts w:asciiTheme="minorHAnsi" w:hAnsiTheme="minorHAnsi"/>
          <w:sz w:val="24"/>
          <w:szCs w:val="24"/>
        </w:rPr>
        <w:lastRenderedPageBreak/>
        <w:t xml:space="preserve">VI. </w:t>
      </w:r>
      <w:r w:rsidR="00543E94" w:rsidRPr="00122E1C">
        <w:rPr>
          <w:rFonts w:asciiTheme="minorHAnsi" w:hAnsiTheme="minorHAnsi"/>
          <w:sz w:val="24"/>
          <w:szCs w:val="24"/>
        </w:rPr>
        <w:t>Economic Realities of Consumer Practice</w:t>
      </w:r>
    </w:p>
    <w:p w14:paraId="5D31D678" w14:textId="07E787EF" w:rsidR="00C00B8A" w:rsidRPr="00C00B8A" w:rsidRDefault="00C00B8A" w:rsidP="00C00B8A">
      <w:pPr>
        <w:pStyle w:val="Heading1"/>
        <w:spacing w:line="240" w:lineRule="auto"/>
        <w:rPr>
          <w:rFonts w:asciiTheme="minorHAnsi" w:hAnsiTheme="minorHAnsi"/>
          <w:sz w:val="24"/>
          <w:szCs w:val="24"/>
        </w:rPr>
      </w:pPr>
      <w:r w:rsidRPr="00C00B8A">
        <w:rPr>
          <w:rFonts w:asciiTheme="minorHAnsi" w:eastAsiaTheme="minorEastAsia" w:hAnsiTheme="minorHAnsi" w:cstheme="minorBidi"/>
          <w:b w:val="0"/>
          <w:bCs w:val="0"/>
          <w:color w:val="auto"/>
          <w:sz w:val="24"/>
          <w:szCs w:val="24"/>
        </w:rPr>
        <w:t xml:space="preserve">Consumer bankruptcy attorneys face high default rates, delayed compensation, and significant administrative burdens associated with representing financially distressed clients. Unlike most areas of legal practice, they routinely represent individuals who, by definition, lack the ability to pay. Collection efforts are often impractical, ethically fraught, and economically inefficient, particularly </w:t>
      </w:r>
      <w:r w:rsidR="007B4B88" w:rsidRPr="00C00B8A">
        <w:rPr>
          <w:rFonts w:asciiTheme="minorHAnsi" w:eastAsiaTheme="minorEastAsia" w:hAnsiTheme="minorHAnsi" w:cstheme="minorBidi"/>
          <w:b w:val="0"/>
          <w:bCs w:val="0"/>
          <w:color w:val="auto"/>
          <w:sz w:val="24"/>
          <w:szCs w:val="24"/>
        </w:rPr>
        <w:t>when</w:t>
      </w:r>
      <w:r w:rsidRPr="00C00B8A">
        <w:rPr>
          <w:rFonts w:asciiTheme="minorHAnsi" w:eastAsiaTheme="minorEastAsia" w:hAnsiTheme="minorHAnsi" w:cstheme="minorBidi"/>
          <w:b w:val="0"/>
          <w:bCs w:val="0"/>
          <w:color w:val="auto"/>
          <w:sz w:val="24"/>
          <w:szCs w:val="24"/>
        </w:rPr>
        <w:t xml:space="preserve"> clients retain substantial leverage through bar complaints or public reviews.</w:t>
      </w:r>
    </w:p>
    <w:p w14:paraId="524910BA" w14:textId="77777777" w:rsidR="00C00B8A" w:rsidRDefault="00C00B8A" w:rsidP="00C00B8A">
      <w:pPr>
        <w:pStyle w:val="Heading1"/>
        <w:spacing w:line="240" w:lineRule="auto"/>
        <w:rPr>
          <w:rFonts w:asciiTheme="minorHAnsi" w:eastAsiaTheme="minorEastAsia" w:hAnsiTheme="minorHAnsi" w:cstheme="minorBidi"/>
          <w:b w:val="0"/>
          <w:bCs w:val="0"/>
          <w:color w:val="auto"/>
          <w:sz w:val="24"/>
          <w:szCs w:val="24"/>
        </w:rPr>
      </w:pPr>
      <w:r w:rsidRPr="00C00B8A">
        <w:rPr>
          <w:rFonts w:asciiTheme="minorHAnsi" w:eastAsiaTheme="minorEastAsia" w:hAnsiTheme="minorHAnsi" w:cstheme="minorBidi"/>
          <w:b w:val="0"/>
          <w:bCs w:val="0"/>
          <w:color w:val="auto"/>
          <w:sz w:val="24"/>
          <w:szCs w:val="24"/>
        </w:rPr>
        <w:t>These challenges are compounded by a broader structural shift. Over the past several decades, Congress and many states have significantly reduced funding for Legal Aid and civil legal services. As a result, many Legal Aid programs no longer provide meaningful bankruptcy representation, leaving a substantial gap in access to counsel. That gap has not disappeared—it has instead been transferred, without funding or formal acknowledgment, to private consumer bankruptcy attorneys.</w:t>
      </w:r>
    </w:p>
    <w:p w14:paraId="3A28CF36" w14:textId="47A64F9D" w:rsidR="00C00B8A" w:rsidRDefault="00C00B8A" w:rsidP="00B402D3">
      <w:pPr>
        <w:pStyle w:val="Heading1"/>
        <w:spacing w:line="240" w:lineRule="auto"/>
        <w:jc w:val="center"/>
        <w:rPr>
          <w:rFonts w:asciiTheme="minorHAnsi" w:eastAsiaTheme="minorEastAsia" w:hAnsiTheme="minorHAnsi" w:cstheme="minorBidi"/>
          <w:color w:val="auto"/>
          <w:sz w:val="24"/>
          <w:szCs w:val="24"/>
        </w:rPr>
      </w:pPr>
      <w:r w:rsidRPr="00C00B8A">
        <w:rPr>
          <w:rFonts w:asciiTheme="minorHAnsi" w:eastAsiaTheme="minorEastAsia" w:hAnsiTheme="minorHAnsi" w:cstheme="minorBidi"/>
          <w:color w:val="auto"/>
          <w:sz w:val="24"/>
          <w:szCs w:val="24"/>
        </w:rPr>
        <w:t>Consumer attorneys cannot be expected to subsidize systemic underfunding of civil legal services.</w:t>
      </w:r>
    </w:p>
    <w:p w14:paraId="601984B2" w14:textId="77777777" w:rsidR="00B402D3" w:rsidRDefault="00B402D3" w:rsidP="00294613">
      <w:pPr>
        <w:pStyle w:val="Heading1"/>
        <w:spacing w:before="0" w:line="240" w:lineRule="auto"/>
        <w:rPr>
          <w:rFonts w:asciiTheme="minorHAnsi" w:eastAsiaTheme="minorEastAsia" w:hAnsiTheme="minorHAnsi" w:cstheme="minorBidi"/>
          <w:b w:val="0"/>
          <w:bCs w:val="0"/>
          <w:color w:val="auto"/>
          <w:sz w:val="24"/>
          <w:szCs w:val="24"/>
        </w:rPr>
      </w:pPr>
    </w:p>
    <w:p w14:paraId="4AA22E0C" w14:textId="0823CA6E" w:rsidR="00C00B8A" w:rsidRPr="00C00B8A" w:rsidRDefault="00C00B8A" w:rsidP="00294613">
      <w:pPr>
        <w:pStyle w:val="Heading1"/>
        <w:spacing w:before="0" w:line="240" w:lineRule="auto"/>
        <w:rPr>
          <w:rFonts w:asciiTheme="minorHAnsi" w:eastAsiaTheme="minorEastAsia" w:hAnsiTheme="minorHAnsi" w:cstheme="minorBidi"/>
          <w:b w:val="0"/>
          <w:bCs w:val="0"/>
          <w:color w:val="auto"/>
          <w:sz w:val="24"/>
          <w:szCs w:val="24"/>
        </w:rPr>
      </w:pPr>
      <w:r w:rsidRPr="00C00B8A">
        <w:rPr>
          <w:rFonts w:asciiTheme="minorHAnsi" w:eastAsiaTheme="minorEastAsia" w:hAnsiTheme="minorHAnsi" w:cstheme="minorBidi"/>
          <w:b w:val="0"/>
          <w:bCs w:val="0"/>
          <w:color w:val="auto"/>
          <w:sz w:val="24"/>
          <w:szCs w:val="24"/>
        </w:rPr>
        <w:t>This reality is thrown into even sharper relief when compared to compensation in other areas of bankruptcy practice—particularly Chapter 11 corporate reorganizations. In those cases:</w:t>
      </w:r>
    </w:p>
    <w:p w14:paraId="619F0E4B" w14:textId="5FCEF627" w:rsidR="00C00B8A" w:rsidRDefault="00C00B8A" w:rsidP="00294613">
      <w:pPr>
        <w:pStyle w:val="Heading1"/>
        <w:numPr>
          <w:ilvl w:val="0"/>
          <w:numId w:val="23"/>
        </w:numPr>
        <w:spacing w:before="0" w:line="240" w:lineRule="auto"/>
        <w:rPr>
          <w:rFonts w:asciiTheme="minorHAnsi" w:eastAsiaTheme="minorEastAsia" w:hAnsiTheme="minorHAnsi" w:cstheme="minorBidi"/>
          <w:b w:val="0"/>
          <w:bCs w:val="0"/>
          <w:color w:val="auto"/>
          <w:sz w:val="24"/>
          <w:szCs w:val="24"/>
        </w:rPr>
      </w:pPr>
      <w:r w:rsidRPr="00C00B8A">
        <w:rPr>
          <w:rFonts w:asciiTheme="minorHAnsi" w:eastAsiaTheme="minorEastAsia" w:hAnsiTheme="minorHAnsi" w:cstheme="minorBidi"/>
          <w:b w:val="0"/>
          <w:bCs w:val="0"/>
          <w:color w:val="auto"/>
          <w:sz w:val="24"/>
          <w:szCs w:val="24"/>
        </w:rPr>
        <w:t xml:space="preserve">Attorneys for debtors, committees, and secured creditors are routinely compensated at market </w:t>
      </w:r>
      <w:r w:rsidR="007B4B88" w:rsidRPr="00C00B8A">
        <w:rPr>
          <w:rFonts w:asciiTheme="minorHAnsi" w:eastAsiaTheme="minorEastAsia" w:hAnsiTheme="minorHAnsi" w:cstheme="minorBidi"/>
          <w:b w:val="0"/>
          <w:bCs w:val="0"/>
          <w:color w:val="auto"/>
          <w:sz w:val="24"/>
          <w:szCs w:val="24"/>
        </w:rPr>
        <w:t>rates.</w:t>
      </w:r>
    </w:p>
    <w:p w14:paraId="568A6979" w14:textId="2A854B8E" w:rsidR="00294613" w:rsidRDefault="00C00B8A" w:rsidP="00294613">
      <w:pPr>
        <w:pStyle w:val="Heading1"/>
        <w:numPr>
          <w:ilvl w:val="0"/>
          <w:numId w:val="23"/>
        </w:numPr>
        <w:spacing w:before="0" w:line="240" w:lineRule="auto"/>
        <w:rPr>
          <w:rFonts w:asciiTheme="minorHAnsi" w:eastAsiaTheme="minorEastAsia" w:hAnsiTheme="minorHAnsi" w:cstheme="minorBidi"/>
          <w:b w:val="0"/>
          <w:bCs w:val="0"/>
          <w:color w:val="auto"/>
          <w:sz w:val="24"/>
          <w:szCs w:val="24"/>
        </w:rPr>
      </w:pPr>
      <w:r w:rsidRPr="00294613">
        <w:rPr>
          <w:rFonts w:asciiTheme="minorHAnsi" w:eastAsiaTheme="minorEastAsia" w:hAnsiTheme="minorHAnsi" w:cstheme="minorBidi"/>
          <w:b w:val="0"/>
          <w:bCs w:val="0"/>
          <w:color w:val="auto"/>
          <w:sz w:val="24"/>
          <w:szCs w:val="24"/>
        </w:rPr>
        <w:t xml:space="preserve"> Fees are paid from estate assets, often on a current </w:t>
      </w:r>
      <w:r w:rsidR="007B4B88" w:rsidRPr="00294613">
        <w:rPr>
          <w:rFonts w:asciiTheme="minorHAnsi" w:eastAsiaTheme="minorEastAsia" w:hAnsiTheme="minorHAnsi" w:cstheme="minorBidi"/>
          <w:b w:val="0"/>
          <w:bCs w:val="0"/>
          <w:color w:val="auto"/>
          <w:sz w:val="24"/>
          <w:szCs w:val="24"/>
        </w:rPr>
        <w:t>basis.</w:t>
      </w:r>
    </w:p>
    <w:p w14:paraId="5CEAD473" w14:textId="3E3BFDDE" w:rsidR="00C00B8A" w:rsidRPr="00294613" w:rsidRDefault="00C00B8A" w:rsidP="00294613">
      <w:pPr>
        <w:pStyle w:val="Heading1"/>
        <w:numPr>
          <w:ilvl w:val="0"/>
          <w:numId w:val="23"/>
        </w:numPr>
        <w:spacing w:before="0" w:line="240" w:lineRule="auto"/>
        <w:rPr>
          <w:rFonts w:asciiTheme="minorHAnsi" w:eastAsiaTheme="minorEastAsia" w:hAnsiTheme="minorHAnsi" w:cstheme="minorBidi"/>
          <w:b w:val="0"/>
          <w:bCs w:val="0"/>
          <w:color w:val="auto"/>
          <w:sz w:val="24"/>
          <w:szCs w:val="24"/>
        </w:rPr>
      </w:pPr>
      <w:r w:rsidRPr="00294613">
        <w:rPr>
          <w:rFonts w:asciiTheme="minorHAnsi" w:eastAsiaTheme="minorEastAsia" w:hAnsiTheme="minorHAnsi" w:cstheme="minorBidi"/>
          <w:b w:val="0"/>
          <w:bCs w:val="0"/>
          <w:color w:val="auto"/>
          <w:sz w:val="24"/>
          <w:szCs w:val="24"/>
        </w:rPr>
        <w:t xml:space="preserve">Compensation is viewed as essential to ensuring competent representation in complex financial </w:t>
      </w:r>
      <w:r w:rsidR="007B4B88" w:rsidRPr="00294613">
        <w:rPr>
          <w:rFonts w:asciiTheme="minorHAnsi" w:eastAsiaTheme="minorEastAsia" w:hAnsiTheme="minorHAnsi" w:cstheme="minorBidi"/>
          <w:b w:val="0"/>
          <w:bCs w:val="0"/>
          <w:color w:val="auto"/>
          <w:sz w:val="24"/>
          <w:szCs w:val="24"/>
        </w:rPr>
        <w:t>matters.</w:t>
      </w:r>
    </w:p>
    <w:p w14:paraId="6A70BB71" w14:textId="77777777" w:rsidR="00C00B8A" w:rsidRPr="00C00B8A" w:rsidRDefault="00C00B8A" w:rsidP="00294613">
      <w:pPr>
        <w:pStyle w:val="Heading1"/>
        <w:spacing w:before="0" w:line="240" w:lineRule="auto"/>
        <w:rPr>
          <w:rFonts w:asciiTheme="minorHAnsi" w:eastAsiaTheme="minorEastAsia" w:hAnsiTheme="minorHAnsi" w:cstheme="minorBidi"/>
          <w:b w:val="0"/>
          <w:bCs w:val="0"/>
          <w:color w:val="auto"/>
          <w:sz w:val="24"/>
          <w:szCs w:val="24"/>
        </w:rPr>
      </w:pPr>
      <w:r w:rsidRPr="00C00B8A">
        <w:rPr>
          <w:rFonts w:asciiTheme="minorHAnsi" w:eastAsiaTheme="minorEastAsia" w:hAnsiTheme="minorHAnsi" w:cstheme="minorBidi"/>
          <w:b w:val="0"/>
          <w:bCs w:val="0"/>
          <w:color w:val="auto"/>
          <w:sz w:val="24"/>
          <w:szCs w:val="24"/>
        </w:rPr>
        <w:t>By contrast, consumer bankruptcy attorneys—who often face equally complex legal issues, high-volume caseloads, and adversaries represented by sophisticated counsel for financial institutions—are expected to operate under a system that:</w:t>
      </w:r>
    </w:p>
    <w:p w14:paraId="4E9C7B34" w14:textId="2F863E12" w:rsidR="00294613" w:rsidRDefault="00C00B8A" w:rsidP="00294613">
      <w:pPr>
        <w:pStyle w:val="Heading1"/>
        <w:numPr>
          <w:ilvl w:val="0"/>
          <w:numId w:val="24"/>
        </w:numPr>
        <w:spacing w:before="0" w:line="240" w:lineRule="auto"/>
        <w:rPr>
          <w:rFonts w:asciiTheme="minorHAnsi" w:eastAsiaTheme="minorEastAsia" w:hAnsiTheme="minorHAnsi" w:cstheme="minorBidi"/>
          <w:b w:val="0"/>
          <w:bCs w:val="0"/>
          <w:color w:val="auto"/>
          <w:sz w:val="24"/>
          <w:szCs w:val="24"/>
        </w:rPr>
      </w:pPr>
      <w:r w:rsidRPr="00294613">
        <w:rPr>
          <w:rFonts w:asciiTheme="minorHAnsi" w:eastAsiaTheme="minorEastAsia" w:hAnsiTheme="minorHAnsi" w:cstheme="minorBidi"/>
          <w:b w:val="0"/>
          <w:bCs w:val="0"/>
          <w:color w:val="auto"/>
          <w:sz w:val="24"/>
          <w:szCs w:val="24"/>
        </w:rPr>
        <w:t xml:space="preserve">Requires payment in advance or risks nonpayment </w:t>
      </w:r>
      <w:r w:rsidR="007B4B88" w:rsidRPr="00294613">
        <w:rPr>
          <w:rFonts w:asciiTheme="minorHAnsi" w:eastAsiaTheme="minorEastAsia" w:hAnsiTheme="minorHAnsi" w:cstheme="minorBidi"/>
          <w:b w:val="0"/>
          <w:bCs w:val="0"/>
          <w:color w:val="auto"/>
          <w:sz w:val="24"/>
          <w:szCs w:val="24"/>
        </w:rPr>
        <w:t>entirely.</w:t>
      </w:r>
    </w:p>
    <w:p w14:paraId="1F3CA696" w14:textId="4C61764C" w:rsidR="00294613" w:rsidRDefault="00C00B8A" w:rsidP="00294613">
      <w:pPr>
        <w:pStyle w:val="Heading1"/>
        <w:numPr>
          <w:ilvl w:val="0"/>
          <w:numId w:val="24"/>
        </w:numPr>
        <w:spacing w:before="0" w:line="240" w:lineRule="auto"/>
        <w:rPr>
          <w:rFonts w:asciiTheme="minorHAnsi" w:eastAsiaTheme="minorEastAsia" w:hAnsiTheme="minorHAnsi" w:cstheme="minorBidi"/>
          <w:b w:val="0"/>
          <w:bCs w:val="0"/>
          <w:color w:val="auto"/>
          <w:sz w:val="24"/>
          <w:szCs w:val="24"/>
        </w:rPr>
      </w:pPr>
      <w:r w:rsidRPr="00294613">
        <w:rPr>
          <w:rFonts w:asciiTheme="minorHAnsi" w:eastAsiaTheme="minorEastAsia" w:hAnsiTheme="minorHAnsi" w:cstheme="minorBidi"/>
          <w:b w:val="0"/>
          <w:bCs w:val="0"/>
          <w:color w:val="auto"/>
          <w:sz w:val="24"/>
          <w:szCs w:val="24"/>
        </w:rPr>
        <w:t xml:space="preserve">Discourages fee flexibility through discharge </w:t>
      </w:r>
      <w:r w:rsidR="007B4B88" w:rsidRPr="00294613">
        <w:rPr>
          <w:rFonts w:asciiTheme="minorHAnsi" w:eastAsiaTheme="minorEastAsia" w:hAnsiTheme="minorHAnsi" w:cstheme="minorBidi"/>
          <w:b w:val="0"/>
          <w:bCs w:val="0"/>
          <w:color w:val="auto"/>
          <w:sz w:val="24"/>
          <w:szCs w:val="24"/>
        </w:rPr>
        <w:t>rules.</w:t>
      </w:r>
    </w:p>
    <w:p w14:paraId="43E3E59D" w14:textId="7B6B81D0" w:rsidR="00C00B8A" w:rsidRPr="00294613" w:rsidRDefault="007B4B88" w:rsidP="00294613">
      <w:pPr>
        <w:pStyle w:val="Heading1"/>
        <w:numPr>
          <w:ilvl w:val="0"/>
          <w:numId w:val="24"/>
        </w:numPr>
        <w:spacing w:before="0" w:line="240" w:lineRule="auto"/>
        <w:rPr>
          <w:rFonts w:asciiTheme="minorHAnsi" w:eastAsiaTheme="minorEastAsia" w:hAnsiTheme="minorHAnsi" w:cstheme="minorBidi"/>
          <w:b w:val="0"/>
          <w:bCs w:val="0"/>
          <w:color w:val="auto"/>
          <w:sz w:val="24"/>
          <w:szCs w:val="24"/>
        </w:rPr>
      </w:pPr>
      <w:r w:rsidRPr="00294613">
        <w:rPr>
          <w:rFonts w:asciiTheme="minorHAnsi" w:eastAsiaTheme="minorEastAsia" w:hAnsiTheme="minorHAnsi" w:cstheme="minorBidi"/>
          <w:b w:val="0"/>
          <w:bCs w:val="0"/>
          <w:color w:val="auto"/>
          <w:sz w:val="24"/>
          <w:szCs w:val="24"/>
        </w:rPr>
        <w:t>Impose</w:t>
      </w:r>
      <w:r w:rsidR="00C00B8A" w:rsidRPr="00294613">
        <w:rPr>
          <w:rFonts w:asciiTheme="minorHAnsi" w:eastAsiaTheme="minorEastAsia" w:hAnsiTheme="minorHAnsi" w:cstheme="minorBidi"/>
          <w:b w:val="0"/>
          <w:bCs w:val="0"/>
          <w:color w:val="auto"/>
          <w:sz w:val="24"/>
          <w:szCs w:val="24"/>
        </w:rPr>
        <w:t xml:space="preserve"> heightened scrutiny without corresponding compensation </w:t>
      </w:r>
      <w:r w:rsidRPr="00294613">
        <w:rPr>
          <w:rFonts w:asciiTheme="minorHAnsi" w:eastAsiaTheme="minorEastAsia" w:hAnsiTheme="minorHAnsi" w:cstheme="minorBidi"/>
          <w:b w:val="0"/>
          <w:bCs w:val="0"/>
          <w:color w:val="auto"/>
          <w:sz w:val="24"/>
          <w:szCs w:val="24"/>
        </w:rPr>
        <w:t>structures.</w:t>
      </w:r>
    </w:p>
    <w:p w14:paraId="678DA0B9" w14:textId="77777777" w:rsidR="00294613" w:rsidRDefault="00294613" w:rsidP="00294613">
      <w:pPr>
        <w:pStyle w:val="Heading1"/>
        <w:spacing w:before="0" w:line="240" w:lineRule="auto"/>
        <w:rPr>
          <w:rFonts w:asciiTheme="minorHAnsi" w:eastAsiaTheme="minorEastAsia" w:hAnsiTheme="minorHAnsi" w:cstheme="minorBidi"/>
          <w:b w:val="0"/>
          <w:bCs w:val="0"/>
          <w:color w:val="auto"/>
          <w:sz w:val="24"/>
          <w:szCs w:val="24"/>
        </w:rPr>
      </w:pPr>
    </w:p>
    <w:p w14:paraId="4796852F" w14:textId="3023C6C8" w:rsidR="00C00B8A" w:rsidRPr="00C00B8A" w:rsidRDefault="00C00B8A" w:rsidP="00294613">
      <w:pPr>
        <w:pStyle w:val="Heading1"/>
        <w:spacing w:before="0" w:line="240" w:lineRule="auto"/>
        <w:rPr>
          <w:rFonts w:asciiTheme="minorHAnsi" w:eastAsiaTheme="minorEastAsia" w:hAnsiTheme="minorHAnsi" w:cstheme="minorBidi"/>
          <w:b w:val="0"/>
          <w:bCs w:val="0"/>
          <w:color w:val="auto"/>
          <w:sz w:val="24"/>
          <w:szCs w:val="24"/>
        </w:rPr>
      </w:pPr>
      <w:r w:rsidRPr="00C00B8A">
        <w:rPr>
          <w:rFonts w:asciiTheme="minorHAnsi" w:eastAsiaTheme="minorEastAsia" w:hAnsiTheme="minorHAnsi" w:cstheme="minorBidi"/>
          <w:b w:val="0"/>
          <w:bCs w:val="0"/>
          <w:color w:val="auto"/>
          <w:sz w:val="24"/>
          <w:szCs w:val="24"/>
        </w:rPr>
        <w:t>This disparity is not merely academic. It has real consequences for the quality and availability of representation.</w:t>
      </w:r>
    </w:p>
    <w:p w14:paraId="406011F3" w14:textId="77777777" w:rsidR="00294613" w:rsidRDefault="00294613" w:rsidP="00294613">
      <w:pPr>
        <w:pStyle w:val="Heading1"/>
        <w:spacing w:before="0" w:line="240" w:lineRule="auto"/>
        <w:rPr>
          <w:rFonts w:asciiTheme="minorHAnsi" w:eastAsiaTheme="minorEastAsia" w:hAnsiTheme="minorHAnsi" w:cstheme="minorBidi"/>
          <w:b w:val="0"/>
          <w:bCs w:val="0"/>
          <w:color w:val="auto"/>
          <w:sz w:val="24"/>
          <w:szCs w:val="24"/>
        </w:rPr>
      </w:pPr>
    </w:p>
    <w:p w14:paraId="756D6601" w14:textId="3F5BD0A5" w:rsidR="00C00B8A" w:rsidRPr="00C00B8A" w:rsidRDefault="00C00B8A" w:rsidP="00294613">
      <w:pPr>
        <w:pStyle w:val="Heading1"/>
        <w:spacing w:before="0" w:line="240" w:lineRule="auto"/>
        <w:rPr>
          <w:rFonts w:asciiTheme="minorHAnsi" w:eastAsiaTheme="minorEastAsia" w:hAnsiTheme="minorHAnsi" w:cstheme="minorBidi"/>
          <w:b w:val="0"/>
          <w:bCs w:val="0"/>
          <w:color w:val="auto"/>
          <w:sz w:val="24"/>
          <w:szCs w:val="24"/>
        </w:rPr>
      </w:pPr>
      <w:r w:rsidRPr="00C00B8A">
        <w:rPr>
          <w:rFonts w:asciiTheme="minorHAnsi" w:eastAsiaTheme="minorEastAsia" w:hAnsiTheme="minorHAnsi" w:cstheme="minorBidi"/>
          <w:b w:val="0"/>
          <w:bCs w:val="0"/>
          <w:color w:val="auto"/>
          <w:sz w:val="24"/>
          <w:szCs w:val="24"/>
        </w:rPr>
        <w:t>It is vital to ensure that consumer debtor attorneys are adequately compensated:</w:t>
      </w:r>
    </w:p>
    <w:p w14:paraId="3155813B" w14:textId="77777777" w:rsidR="00294613" w:rsidRDefault="00C00B8A" w:rsidP="00294613">
      <w:pPr>
        <w:pStyle w:val="Heading1"/>
        <w:numPr>
          <w:ilvl w:val="0"/>
          <w:numId w:val="25"/>
        </w:numPr>
        <w:spacing w:before="0" w:line="240" w:lineRule="auto"/>
        <w:rPr>
          <w:rFonts w:asciiTheme="minorHAnsi" w:eastAsiaTheme="minorEastAsia" w:hAnsiTheme="minorHAnsi" w:cstheme="minorBidi"/>
          <w:b w:val="0"/>
          <w:bCs w:val="0"/>
          <w:color w:val="auto"/>
          <w:sz w:val="24"/>
          <w:szCs w:val="24"/>
        </w:rPr>
      </w:pPr>
      <w:r w:rsidRPr="00294613">
        <w:rPr>
          <w:rFonts w:asciiTheme="minorHAnsi" w:eastAsiaTheme="minorEastAsia" w:hAnsiTheme="minorHAnsi" w:cstheme="minorBidi"/>
          <w:b w:val="0"/>
          <w:bCs w:val="0"/>
          <w:color w:val="auto"/>
          <w:sz w:val="24"/>
          <w:szCs w:val="24"/>
        </w:rPr>
        <w:t>To reflect the difficulty and importance of representing financially vulnerable individuals</w:t>
      </w:r>
    </w:p>
    <w:p w14:paraId="626656A8" w14:textId="0BFEAF21" w:rsidR="00294613" w:rsidRDefault="00C00B8A" w:rsidP="00294613">
      <w:pPr>
        <w:pStyle w:val="Heading1"/>
        <w:numPr>
          <w:ilvl w:val="0"/>
          <w:numId w:val="25"/>
        </w:numPr>
        <w:spacing w:before="0" w:line="240" w:lineRule="auto"/>
        <w:rPr>
          <w:rFonts w:asciiTheme="minorHAnsi" w:eastAsiaTheme="minorEastAsia" w:hAnsiTheme="minorHAnsi" w:cstheme="minorBidi"/>
          <w:b w:val="0"/>
          <w:bCs w:val="0"/>
          <w:color w:val="auto"/>
          <w:sz w:val="24"/>
          <w:szCs w:val="24"/>
        </w:rPr>
      </w:pPr>
      <w:r w:rsidRPr="00294613">
        <w:rPr>
          <w:rFonts w:asciiTheme="minorHAnsi" w:eastAsiaTheme="minorEastAsia" w:hAnsiTheme="minorHAnsi" w:cstheme="minorBidi"/>
          <w:b w:val="0"/>
          <w:bCs w:val="0"/>
          <w:color w:val="auto"/>
          <w:sz w:val="24"/>
          <w:szCs w:val="24"/>
        </w:rPr>
        <w:lastRenderedPageBreak/>
        <w:t xml:space="preserve">To attract and retain competent lawyers capable of zealously and effectively opposing government attorneys and well-funded counsel for banks, credit card companies, mortgage lenders and servicers, and other financial </w:t>
      </w:r>
      <w:r w:rsidR="007B4B88" w:rsidRPr="00294613">
        <w:rPr>
          <w:rFonts w:asciiTheme="minorHAnsi" w:eastAsiaTheme="minorEastAsia" w:hAnsiTheme="minorHAnsi" w:cstheme="minorBidi"/>
          <w:b w:val="0"/>
          <w:bCs w:val="0"/>
          <w:color w:val="auto"/>
          <w:sz w:val="24"/>
          <w:szCs w:val="24"/>
        </w:rPr>
        <w:t>institutions.</w:t>
      </w:r>
    </w:p>
    <w:p w14:paraId="45C777C0" w14:textId="78DA1BB8" w:rsidR="00C00B8A" w:rsidRPr="00294613" w:rsidRDefault="00C00B8A" w:rsidP="00294613">
      <w:pPr>
        <w:pStyle w:val="Heading1"/>
        <w:numPr>
          <w:ilvl w:val="0"/>
          <w:numId w:val="25"/>
        </w:numPr>
        <w:spacing w:before="0" w:line="240" w:lineRule="auto"/>
        <w:rPr>
          <w:rFonts w:asciiTheme="minorHAnsi" w:eastAsiaTheme="minorEastAsia" w:hAnsiTheme="minorHAnsi" w:cstheme="minorBidi"/>
          <w:b w:val="0"/>
          <w:bCs w:val="0"/>
          <w:color w:val="auto"/>
          <w:sz w:val="24"/>
          <w:szCs w:val="24"/>
        </w:rPr>
      </w:pPr>
      <w:r w:rsidRPr="00294613">
        <w:rPr>
          <w:rFonts w:asciiTheme="minorHAnsi" w:eastAsiaTheme="minorEastAsia" w:hAnsiTheme="minorHAnsi" w:cstheme="minorBidi"/>
          <w:b w:val="0"/>
          <w:bCs w:val="0"/>
          <w:color w:val="auto"/>
          <w:sz w:val="24"/>
          <w:szCs w:val="24"/>
        </w:rPr>
        <w:t>To maintain the integrity and adversarial balance of the bankruptcy system</w:t>
      </w:r>
    </w:p>
    <w:p w14:paraId="6AF648F5" w14:textId="77777777" w:rsidR="00294613" w:rsidRDefault="00294613" w:rsidP="00294613">
      <w:pPr>
        <w:pStyle w:val="Heading1"/>
        <w:spacing w:before="0" w:line="240" w:lineRule="auto"/>
        <w:rPr>
          <w:rFonts w:asciiTheme="minorHAnsi" w:eastAsiaTheme="minorEastAsia" w:hAnsiTheme="minorHAnsi" w:cstheme="minorBidi"/>
          <w:b w:val="0"/>
          <w:bCs w:val="0"/>
          <w:color w:val="auto"/>
          <w:sz w:val="24"/>
          <w:szCs w:val="24"/>
        </w:rPr>
      </w:pPr>
    </w:p>
    <w:p w14:paraId="7DFD1162" w14:textId="4792EF61" w:rsidR="00C00B8A" w:rsidRPr="00C00B8A" w:rsidRDefault="00C00B8A" w:rsidP="00294613">
      <w:pPr>
        <w:pStyle w:val="Heading1"/>
        <w:spacing w:before="0" w:line="240" w:lineRule="auto"/>
        <w:rPr>
          <w:rFonts w:asciiTheme="minorHAnsi" w:eastAsiaTheme="minorEastAsia" w:hAnsiTheme="minorHAnsi" w:cstheme="minorBidi"/>
          <w:b w:val="0"/>
          <w:bCs w:val="0"/>
          <w:color w:val="auto"/>
          <w:sz w:val="24"/>
          <w:szCs w:val="24"/>
        </w:rPr>
      </w:pPr>
      <w:r w:rsidRPr="00C00B8A">
        <w:rPr>
          <w:rFonts w:asciiTheme="minorHAnsi" w:eastAsiaTheme="minorEastAsia" w:hAnsiTheme="minorHAnsi" w:cstheme="minorBidi"/>
          <w:b w:val="0"/>
          <w:bCs w:val="0"/>
          <w:color w:val="auto"/>
          <w:sz w:val="24"/>
          <w:szCs w:val="24"/>
        </w:rPr>
        <w:t>Moreover, bringing new attorneys into the consumer bankruptcy bar—particularly attorneys from diverse backgrounds—requires a sustainable economic model. The barriers to entry are significant:</w:t>
      </w:r>
    </w:p>
    <w:p w14:paraId="7090E03F" w14:textId="77777777" w:rsidR="00C00B8A" w:rsidRPr="00C00B8A" w:rsidRDefault="00C00B8A" w:rsidP="00294613">
      <w:pPr>
        <w:pStyle w:val="Heading1"/>
        <w:spacing w:before="0" w:line="240" w:lineRule="auto"/>
        <w:rPr>
          <w:rFonts w:asciiTheme="minorHAnsi" w:eastAsiaTheme="minorEastAsia" w:hAnsiTheme="minorHAnsi" w:cstheme="minorBidi"/>
          <w:b w:val="0"/>
          <w:bCs w:val="0"/>
          <w:color w:val="auto"/>
          <w:sz w:val="24"/>
          <w:szCs w:val="24"/>
        </w:rPr>
      </w:pPr>
    </w:p>
    <w:p w14:paraId="452E900E" w14:textId="69D41A5F" w:rsidR="00294613" w:rsidRDefault="00C00B8A" w:rsidP="00294613">
      <w:pPr>
        <w:pStyle w:val="Heading1"/>
        <w:numPr>
          <w:ilvl w:val="0"/>
          <w:numId w:val="26"/>
        </w:numPr>
        <w:spacing w:before="0" w:line="240" w:lineRule="auto"/>
        <w:rPr>
          <w:rFonts w:asciiTheme="minorHAnsi" w:eastAsiaTheme="minorEastAsia" w:hAnsiTheme="minorHAnsi" w:cstheme="minorBidi"/>
          <w:b w:val="0"/>
          <w:bCs w:val="0"/>
          <w:color w:val="auto"/>
          <w:sz w:val="24"/>
          <w:szCs w:val="24"/>
        </w:rPr>
      </w:pPr>
      <w:r w:rsidRPr="00C00B8A">
        <w:rPr>
          <w:rFonts w:asciiTheme="minorHAnsi" w:eastAsiaTheme="minorEastAsia" w:hAnsiTheme="minorHAnsi" w:cstheme="minorBidi"/>
          <w:b w:val="0"/>
          <w:bCs w:val="0"/>
          <w:color w:val="auto"/>
          <w:sz w:val="24"/>
          <w:szCs w:val="24"/>
        </w:rPr>
        <w:t xml:space="preserve">Startup costs for establishing a consumer bankruptcy </w:t>
      </w:r>
      <w:r w:rsidR="007B4B88" w:rsidRPr="00C00B8A">
        <w:rPr>
          <w:rFonts w:asciiTheme="minorHAnsi" w:eastAsiaTheme="minorEastAsia" w:hAnsiTheme="minorHAnsi" w:cstheme="minorBidi"/>
          <w:b w:val="0"/>
          <w:bCs w:val="0"/>
          <w:color w:val="auto"/>
          <w:sz w:val="24"/>
          <w:szCs w:val="24"/>
        </w:rPr>
        <w:t>practice.</w:t>
      </w:r>
    </w:p>
    <w:p w14:paraId="41EB73A3" w14:textId="5D18C1D1" w:rsidR="00294613" w:rsidRDefault="00C00B8A" w:rsidP="00294613">
      <w:pPr>
        <w:pStyle w:val="Heading1"/>
        <w:numPr>
          <w:ilvl w:val="0"/>
          <w:numId w:val="26"/>
        </w:numPr>
        <w:spacing w:before="0" w:line="240" w:lineRule="auto"/>
        <w:rPr>
          <w:rFonts w:asciiTheme="minorHAnsi" w:eastAsiaTheme="minorEastAsia" w:hAnsiTheme="minorHAnsi" w:cstheme="minorBidi"/>
          <w:b w:val="0"/>
          <w:bCs w:val="0"/>
          <w:color w:val="auto"/>
          <w:sz w:val="24"/>
          <w:szCs w:val="24"/>
        </w:rPr>
      </w:pPr>
      <w:r w:rsidRPr="00294613">
        <w:rPr>
          <w:rFonts w:asciiTheme="minorHAnsi" w:eastAsiaTheme="minorEastAsia" w:hAnsiTheme="minorHAnsi" w:cstheme="minorBidi"/>
          <w:b w:val="0"/>
          <w:bCs w:val="0"/>
          <w:color w:val="auto"/>
          <w:sz w:val="24"/>
          <w:szCs w:val="24"/>
        </w:rPr>
        <w:t xml:space="preserve">Training and expertise </w:t>
      </w:r>
      <w:proofErr w:type="gramStart"/>
      <w:r w:rsidRPr="00294613">
        <w:rPr>
          <w:rFonts w:asciiTheme="minorHAnsi" w:eastAsiaTheme="minorEastAsia" w:hAnsiTheme="minorHAnsi" w:cstheme="minorBidi"/>
          <w:b w:val="0"/>
          <w:bCs w:val="0"/>
          <w:color w:val="auto"/>
          <w:sz w:val="24"/>
          <w:szCs w:val="24"/>
        </w:rPr>
        <w:t>required</w:t>
      </w:r>
      <w:proofErr w:type="gramEnd"/>
      <w:r w:rsidRPr="00294613">
        <w:rPr>
          <w:rFonts w:asciiTheme="minorHAnsi" w:eastAsiaTheme="minorEastAsia" w:hAnsiTheme="minorHAnsi" w:cstheme="minorBidi"/>
          <w:b w:val="0"/>
          <w:bCs w:val="0"/>
          <w:color w:val="auto"/>
          <w:sz w:val="24"/>
          <w:szCs w:val="24"/>
        </w:rPr>
        <w:t xml:space="preserve"> to navigate an increasingly complex statutory </w:t>
      </w:r>
      <w:r w:rsidR="007B4B88" w:rsidRPr="00294613">
        <w:rPr>
          <w:rFonts w:asciiTheme="minorHAnsi" w:eastAsiaTheme="minorEastAsia" w:hAnsiTheme="minorHAnsi" w:cstheme="minorBidi"/>
          <w:b w:val="0"/>
          <w:bCs w:val="0"/>
          <w:color w:val="auto"/>
          <w:sz w:val="24"/>
          <w:szCs w:val="24"/>
        </w:rPr>
        <w:t>framework.</w:t>
      </w:r>
    </w:p>
    <w:p w14:paraId="614C2EB6" w14:textId="55B84498" w:rsidR="00C00B8A" w:rsidRPr="00294613" w:rsidRDefault="00C00B8A" w:rsidP="00294613">
      <w:pPr>
        <w:pStyle w:val="Heading1"/>
        <w:numPr>
          <w:ilvl w:val="0"/>
          <w:numId w:val="26"/>
        </w:numPr>
        <w:spacing w:before="0" w:line="240" w:lineRule="auto"/>
        <w:rPr>
          <w:rFonts w:asciiTheme="minorHAnsi" w:eastAsiaTheme="minorEastAsia" w:hAnsiTheme="minorHAnsi" w:cstheme="minorBidi"/>
          <w:b w:val="0"/>
          <w:bCs w:val="0"/>
          <w:color w:val="auto"/>
          <w:sz w:val="24"/>
          <w:szCs w:val="24"/>
        </w:rPr>
      </w:pPr>
      <w:r w:rsidRPr="00294613">
        <w:rPr>
          <w:rFonts w:asciiTheme="minorHAnsi" w:eastAsiaTheme="minorEastAsia" w:hAnsiTheme="minorHAnsi" w:cstheme="minorBidi"/>
          <w:b w:val="0"/>
          <w:bCs w:val="0"/>
          <w:color w:val="auto"/>
          <w:sz w:val="24"/>
          <w:szCs w:val="24"/>
        </w:rPr>
        <w:t xml:space="preserve">The economic risk </w:t>
      </w:r>
      <w:r w:rsidR="002C00AC" w:rsidRPr="00294613">
        <w:rPr>
          <w:rFonts w:asciiTheme="minorHAnsi" w:eastAsiaTheme="minorEastAsia" w:hAnsiTheme="minorHAnsi" w:cstheme="minorBidi"/>
          <w:b w:val="0"/>
          <w:bCs w:val="0"/>
          <w:color w:val="auto"/>
          <w:sz w:val="24"/>
          <w:szCs w:val="24"/>
        </w:rPr>
        <w:t>is associated</w:t>
      </w:r>
      <w:r w:rsidRPr="00294613">
        <w:rPr>
          <w:rFonts w:asciiTheme="minorHAnsi" w:eastAsiaTheme="minorEastAsia" w:hAnsiTheme="minorHAnsi" w:cstheme="minorBidi"/>
          <w:b w:val="0"/>
          <w:bCs w:val="0"/>
          <w:color w:val="auto"/>
          <w:sz w:val="24"/>
          <w:szCs w:val="24"/>
        </w:rPr>
        <w:t xml:space="preserve"> with delayed or uncertain </w:t>
      </w:r>
      <w:r w:rsidR="007B4B88" w:rsidRPr="00294613">
        <w:rPr>
          <w:rFonts w:asciiTheme="minorHAnsi" w:eastAsiaTheme="minorEastAsia" w:hAnsiTheme="minorHAnsi" w:cstheme="minorBidi"/>
          <w:b w:val="0"/>
          <w:bCs w:val="0"/>
          <w:color w:val="auto"/>
          <w:sz w:val="24"/>
          <w:szCs w:val="24"/>
        </w:rPr>
        <w:t>payment.</w:t>
      </w:r>
    </w:p>
    <w:p w14:paraId="42A8ED69" w14:textId="77777777" w:rsidR="00C00B8A" w:rsidRPr="00C00B8A" w:rsidRDefault="00C00B8A" w:rsidP="00294613">
      <w:pPr>
        <w:pStyle w:val="Heading1"/>
        <w:spacing w:before="0" w:line="240" w:lineRule="auto"/>
        <w:rPr>
          <w:rFonts w:asciiTheme="minorHAnsi" w:eastAsiaTheme="minorEastAsia" w:hAnsiTheme="minorHAnsi" w:cstheme="minorBidi"/>
          <w:b w:val="0"/>
          <w:bCs w:val="0"/>
          <w:color w:val="auto"/>
          <w:sz w:val="24"/>
          <w:szCs w:val="24"/>
        </w:rPr>
      </w:pPr>
    </w:p>
    <w:p w14:paraId="65A8A132" w14:textId="77777777" w:rsidR="00C00B8A" w:rsidRPr="00C00B8A" w:rsidRDefault="00C00B8A" w:rsidP="00294613">
      <w:pPr>
        <w:pStyle w:val="Heading1"/>
        <w:spacing w:before="0" w:line="240" w:lineRule="auto"/>
        <w:rPr>
          <w:rFonts w:asciiTheme="minorHAnsi" w:eastAsiaTheme="minorEastAsia" w:hAnsiTheme="minorHAnsi" w:cstheme="minorBidi"/>
          <w:b w:val="0"/>
          <w:bCs w:val="0"/>
          <w:color w:val="auto"/>
          <w:sz w:val="24"/>
          <w:szCs w:val="24"/>
        </w:rPr>
      </w:pPr>
      <w:r w:rsidRPr="00C00B8A">
        <w:rPr>
          <w:rFonts w:asciiTheme="minorHAnsi" w:eastAsiaTheme="minorEastAsia" w:hAnsiTheme="minorHAnsi" w:cstheme="minorBidi"/>
          <w:b w:val="0"/>
          <w:bCs w:val="0"/>
          <w:color w:val="auto"/>
          <w:sz w:val="24"/>
          <w:szCs w:val="24"/>
        </w:rPr>
        <w:t>Spreading fees over time, while potentially increasing access for clients, further erodes the real value of those fees due to:</w:t>
      </w:r>
    </w:p>
    <w:p w14:paraId="113CE305" w14:textId="77777777" w:rsidR="00C00B8A" w:rsidRPr="00C00B8A" w:rsidRDefault="00C00B8A" w:rsidP="00294613">
      <w:pPr>
        <w:pStyle w:val="Heading1"/>
        <w:spacing w:before="0" w:line="240" w:lineRule="auto"/>
        <w:rPr>
          <w:rFonts w:asciiTheme="minorHAnsi" w:eastAsiaTheme="minorEastAsia" w:hAnsiTheme="minorHAnsi" w:cstheme="minorBidi"/>
          <w:b w:val="0"/>
          <w:bCs w:val="0"/>
          <w:color w:val="auto"/>
          <w:sz w:val="24"/>
          <w:szCs w:val="24"/>
        </w:rPr>
      </w:pPr>
    </w:p>
    <w:p w14:paraId="240258F9" w14:textId="77777777" w:rsidR="00294613" w:rsidRDefault="00C00B8A" w:rsidP="00294613">
      <w:pPr>
        <w:pStyle w:val="Heading1"/>
        <w:numPr>
          <w:ilvl w:val="0"/>
          <w:numId w:val="26"/>
        </w:numPr>
        <w:spacing w:before="0" w:line="240" w:lineRule="auto"/>
        <w:rPr>
          <w:rFonts w:asciiTheme="minorHAnsi" w:eastAsiaTheme="minorEastAsia" w:hAnsiTheme="minorHAnsi" w:cstheme="minorBidi"/>
          <w:b w:val="0"/>
          <w:bCs w:val="0"/>
          <w:color w:val="auto"/>
          <w:sz w:val="24"/>
          <w:szCs w:val="24"/>
        </w:rPr>
      </w:pPr>
      <w:r w:rsidRPr="00C00B8A">
        <w:rPr>
          <w:rFonts w:asciiTheme="minorHAnsi" w:eastAsiaTheme="minorEastAsia" w:hAnsiTheme="minorHAnsi" w:cstheme="minorBidi"/>
          <w:b w:val="0"/>
          <w:bCs w:val="0"/>
          <w:color w:val="auto"/>
          <w:sz w:val="24"/>
          <w:szCs w:val="24"/>
        </w:rPr>
        <w:t>Default risk</w:t>
      </w:r>
    </w:p>
    <w:p w14:paraId="7C2F8F21" w14:textId="77777777" w:rsidR="00294613" w:rsidRDefault="00C00B8A" w:rsidP="00294613">
      <w:pPr>
        <w:pStyle w:val="Heading1"/>
        <w:numPr>
          <w:ilvl w:val="0"/>
          <w:numId w:val="26"/>
        </w:numPr>
        <w:spacing w:before="0" w:line="240" w:lineRule="auto"/>
        <w:rPr>
          <w:rFonts w:asciiTheme="minorHAnsi" w:eastAsiaTheme="minorEastAsia" w:hAnsiTheme="minorHAnsi" w:cstheme="minorBidi"/>
          <w:b w:val="0"/>
          <w:bCs w:val="0"/>
          <w:color w:val="auto"/>
          <w:sz w:val="24"/>
          <w:szCs w:val="24"/>
        </w:rPr>
      </w:pPr>
      <w:r w:rsidRPr="00294613">
        <w:rPr>
          <w:rFonts w:asciiTheme="minorHAnsi" w:eastAsiaTheme="minorEastAsia" w:hAnsiTheme="minorHAnsi" w:cstheme="minorBidi"/>
          <w:b w:val="0"/>
          <w:bCs w:val="0"/>
          <w:color w:val="auto"/>
          <w:sz w:val="24"/>
          <w:szCs w:val="24"/>
        </w:rPr>
        <w:t>Administrative costs</w:t>
      </w:r>
    </w:p>
    <w:p w14:paraId="3757C28A" w14:textId="7573F29E" w:rsidR="00C00B8A" w:rsidRPr="00294613" w:rsidRDefault="00C00B8A" w:rsidP="00294613">
      <w:pPr>
        <w:pStyle w:val="Heading1"/>
        <w:numPr>
          <w:ilvl w:val="0"/>
          <w:numId w:val="26"/>
        </w:numPr>
        <w:spacing w:before="0" w:line="240" w:lineRule="auto"/>
        <w:rPr>
          <w:rFonts w:asciiTheme="minorHAnsi" w:eastAsiaTheme="minorEastAsia" w:hAnsiTheme="minorHAnsi" w:cstheme="minorBidi"/>
          <w:b w:val="0"/>
          <w:bCs w:val="0"/>
          <w:color w:val="auto"/>
          <w:sz w:val="24"/>
          <w:szCs w:val="24"/>
        </w:rPr>
      </w:pPr>
      <w:r w:rsidRPr="00294613">
        <w:rPr>
          <w:rFonts w:asciiTheme="minorHAnsi" w:eastAsiaTheme="minorEastAsia" w:hAnsiTheme="minorHAnsi" w:cstheme="minorBidi"/>
          <w:b w:val="0"/>
          <w:bCs w:val="0"/>
          <w:color w:val="auto"/>
          <w:sz w:val="24"/>
          <w:szCs w:val="24"/>
        </w:rPr>
        <w:t>The time value of money</w:t>
      </w:r>
    </w:p>
    <w:p w14:paraId="3CCEED84" w14:textId="77777777" w:rsidR="00C00B8A" w:rsidRPr="00C00B8A" w:rsidRDefault="00C00B8A" w:rsidP="00294613">
      <w:pPr>
        <w:pStyle w:val="Heading1"/>
        <w:spacing w:before="0" w:line="240" w:lineRule="auto"/>
        <w:rPr>
          <w:rFonts w:asciiTheme="minorHAnsi" w:eastAsiaTheme="minorEastAsia" w:hAnsiTheme="minorHAnsi" w:cstheme="minorBidi"/>
          <w:b w:val="0"/>
          <w:bCs w:val="0"/>
          <w:color w:val="auto"/>
          <w:sz w:val="24"/>
          <w:szCs w:val="24"/>
        </w:rPr>
      </w:pPr>
    </w:p>
    <w:p w14:paraId="697AC26F" w14:textId="77777777" w:rsidR="00C00B8A" w:rsidRPr="00C00B8A" w:rsidRDefault="00C00B8A" w:rsidP="00294613">
      <w:pPr>
        <w:pStyle w:val="Heading1"/>
        <w:spacing w:before="0" w:line="240" w:lineRule="auto"/>
        <w:rPr>
          <w:rFonts w:asciiTheme="minorHAnsi" w:eastAsiaTheme="minorEastAsia" w:hAnsiTheme="minorHAnsi" w:cstheme="minorBidi"/>
          <w:b w:val="0"/>
          <w:bCs w:val="0"/>
          <w:color w:val="auto"/>
          <w:sz w:val="24"/>
          <w:szCs w:val="24"/>
        </w:rPr>
      </w:pPr>
      <w:r w:rsidRPr="00C00B8A">
        <w:rPr>
          <w:rFonts w:asciiTheme="minorHAnsi" w:eastAsiaTheme="minorEastAsia" w:hAnsiTheme="minorHAnsi" w:cstheme="minorBidi"/>
          <w:b w:val="0"/>
          <w:bCs w:val="0"/>
          <w:color w:val="auto"/>
          <w:sz w:val="24"/>
          <w:szCs w:val="24"/>
        </w:rPr>
        <w:t>Without adequate compensation structures, the system risks discouraging new entrants into the consumer bar and driving experienced practitioners out of it.</w:t>
      </w:r>
    </w:p>
    <w:p w14:paraId="2582023B" w14:textId="77777777" w:rsidR="00C00B8A" w:rsidRPr="00C00B8A" w:rsidRDefault="00C00B8A" w:rsidP="00294613">
      <w:pPr>
        <w:pStyle w:val="Heading1"/>
        <w:spacing w:before="0" w:line="240" w:lineRule="auto"/>
        <w:rPr>
          <w:rFonts w:asciiTheme="minorHAnsi" w:eastAsiaTheme="minorEastAsia" w:hAnsiTheme="minorHAnsi" w:cstheme="minorBidi"/>
          <w:b w:val="0"/>
          <w:bCs w:val="0"/>
          <w:color w:val="auto"/>
          <w:sz w:val="24"/>
          <w:szCs w:val="24"/>
        </w:rPr>
      </w:pPr>
    </w:p>
    <w:p w14:paraId="079C461D" w14:textId="08DC9CD5" w:rsidR="00C00B8A" w:rsidRPr="00294613" w:rsidRDefault="00C00B8A" w:rsidP="00294613">
      <w:pPr>
        <w:pStyle w:val="Heading1"/>
        <w:spacing w:before="0" w:line="240" w:lineRule="auto"/>
        <w:jc w:val="center"/>
        <w:rPr>
          <w:rFonts w:asciiTheme="minorHAnsi" w:eastAsiaTheme="minorEastAsia" w:hAnsiTheme="minorHAnsi" w:cstheme="minorBidi"/>
          <w:color w:val="auto"/>
          <w:sz w:val="24"/>
          <w:szCs w:val="24"/>
        </w:rPr>
      </w:pPr>
      <w:r w:rsidRPr="00294613">
        <w:rPr>
          <w:rFonts w:asciiTheme="minorHAnsi" w:eastAsiaTheme="minorEastAsia" w:hAnsiTheme="minorHAnsi" w:cstheme="minorBidi"/>
          <w:color w:val="auto"/>
          <w:sz w:val="24"/>
          <w:szCs w:val="24"/>
        </w:rPr>
        <w:t>Expanding access to bankruptcy relief must not come at the cost of weakening the consumer bankruptcy bar itself.</w:t>
      </w:r>
    </w:p>
    <w:p w14:paraId="113A6E40" w14:textId="77777777" w:rsidR="00C00B8A" w:rsidRPr="00C00B8A" w:rsidRDefault="00C00B8A" w:rsidP="00294613">
      <w:pPr>
        <w:pStyle w:val="Heading1"/>
        <w:spacing w:before="0" w:line="240" w:lineRule="auto"/>
        <w:rPr>
          <w:rFonts w:asciiTheme="minorHAnsi" w:eastAsiaTheme="minorEastAsia" w:hAnsiTheme="minorHAnsi" w:cstheme="minorBidi"/>
          <w:b w:val="0"/>
          <w:bCs w:val="0"/>
          <w:color w:val="auto"/>
          <w:sz w:val="24"/>
          <w:szCs w:val="24"/>
        </w:rPr>
      </w:pPr>
    </w:p>
    <w:p w14:paraId="09A44B12" w14:textId="7E4E92C3" w:rsidR="00C00B8A" w:rsidRPr="00C00B8A" w:rsidRDefault="00C00B8A" w:rsidP="00294613">
      <w:pPr>
        <w:pStyle w:val="Heading1"/>
        <w:spacing w:before="0" w:line="240" w:lineRule="auto"/>
        <w:rPr>
          <w:rFonts w:asciiTheme="minorHAnsi" w:eastAsiaTheme="minorEastAsia" w:hAnsiTheme="minorHAnsi" w:cstheme="minorBidi"/>
          <w:b w:val="0"/>
          <w:bCs w:val="0"/>
          <w:color w:val="auto"/>
          <w:sz w:val="24"/>
          <w:szCs w:val="24"/>
        </w:rPr>
      </w:pPr>
      <w:r w:rsidRPr="00C00B8A">
        <w:rPr>
          <w:rFonts w:asciiTheme="minorHAnsi" w:eastAsiaTheme="minorEastAsia" w:hAnsiTheme="minorHAnsi" w:cstheme="minorBidi"/>
          <w:b w:val="0"/>
          <w:bCs w:val="0"/>
          <w:color w:val="auto"/>
          <w:sz w:val="24"/>
          <w:szCs w:val="24"/>
        </w:rPr>
        <w:t xml:space="preserve">Because when competent consumer attorneys are no longer available, access to justice does not </w:t>
      </w:r>
      <w:r w:rsidR="00294613" w:rsidRPr="00C00B8A">
        <w:rPr>
          <w:rFonts w:asciiTheme="minorHAnsi" w:eastAsiaTheme="minorEastAsia" w:hAnsiTheme="minorHAnsi" w:cstheme="minorBidi"/>
          <w:b w:val="0"/>
          <w:bCs w:val="0"/>
          <w:color w:val="auto"/>
          <w:sz w:val="24"/>
          <w:szCs w:val="24"/>
        </w:rPr>
        <w:t xml:space="preserve">improve, </w:t>
      </w:r>
      <w:r w:rsidRPr="00C00B8A">
        <w:rPr>
          <w:rFonts w:asciiTheme="minorHAnsi" w:eastAsiaTheme="minorEastAsia" w:hAnsiTheme="minorHAnsi" w:cstheme="minorBidi"/>
          <w:b w:val="0"/>
          <w:bCs w:val="0"/>
          <w:color w:val="auto"/>
          <w:sz w:val="24"/>
          <w:szCs w:val="24"/>
        </w:rPr>
        <w:t>it deteriorates.</w:t>
      </w:r>
    </w:p>
    <w:p w14:paraId="34A3076D" w14:textId="44719891" w:rsidR="00C21ABF" w:rsidRPr="00122E1C" w:rsidRDefault="00543E94" w:rsidP="00C00B8A">
      <w:pPr>
        <w:pStyle w:val="Heading1"/>
        <w:spacing w:line="240" w:lineRule="auto"/>
        <w:rPr>
          <w:rFonts w:asciiTheme="minorHAnsi" w:hAnsiTheme="minorHAnsi"/>
          <w:sz w:val="24"/>
          <w:szCs w:val="24"/>
        </w:rPr>
      </w:pPr>
      <w:r w:rsidRPr="00122E1C">
        <w:rPr>
          <w:rFonts w:asciiTheme="minorHAnsi" w:hAnsiTheme="minorHAnsi"/>
          <w:sz w:val="24"/>
          <w:szCs w:val="24"/>
        </w:rPr>
        <w:t>VII. Policy Recommendations</w:t>
      </w:r>
    </w:p>
    <w:p w14:paraId="6D60A17C" w14:textId="44340434" w:rsidR="00C21ABF" w:rsidRPr="00122E1C" w:rsidRDefault="000973A4" w:rsidP="00C00B8A">
      <w:pPr>
        <w:spacing w:after="0" w:line="240" w:lineRule="auto"/>
        <w:rPr>
          <w:sz w:val="24"/>
          <w:szCs w:val="24"/>
        </w:rPr>
      </w:pPr>
      <w:r>
        <w:rPr>
          <w:sz w:val="24"/>
          <w:szCs w:val="24"/>
        </w:rPr>
        <w:t xml:space="preserve">I </w:t>
      </w:r>
      <w:proofErr w:type="gramStart"/>
      <w:r>
        <w:rPr>
          <w:sz w:val="24"/>
          <w:szCs w:val="24"/>
        </w:rPr>
        <w:t xml:space="preserve">would </w:t>
      </w:r>
      <w:r w:rsidR="00543E94" w:rsidRPr="00122E1C">
        <w:rPr>
          <w:sz w:val="24"/>
          <w:szCs w:val="24"/>
        </w:rPr>
        <w:t xml:space="preserve"> recommend</w:t>
      </w:r>
      <w:proofErr w:type="gramEnd"/>
      <w:r w:rsidR="00543E94" w:rsidRPr="00122E1C">
        <w:rPr>
          <w:sz w:val="24"/>
          <w:szCs w:val="24"/>
        </w:rPr>
        <w:t>:</w:t>
      </w:r>
      <w:r w:rsidR="00543E94" w:rsidRPr="00122E1C">
        <w:rPr>
          <w:sz w:val="24"/>
          <w:szCs w:val="24"/>
        </w:rPr>
        <w:br/>
        <w:t>1. Development of a Best Practices White Paper rather than immediate statutory change</w:t>
      </w:r>
      <w:r w:rsidR="00543E94" w:rsidRPr="00122E1C">
        <w:rPr>
          <w:sz w:val="24"/>
          <w:szCs w:val="24"/>
        </w:rPr>
        <w:br/>
        <w:t>2. Local flexibility in adopting fee structures</w:t>
      </w:r>
      <w:r w:rsidR="00543E94" w:rsidRPr="00122E1C">
        <w:rPr>
          <w:sz w:val="24"/>
          <w:szCs w:val="24"/>
        </w:rPr>
        <w:br/>
        <w:t>3. Preservation of AFO Chapter 13 models where appropriate</w:t>
      </w:r>
      <w:r w:rsidR="00543E94" w:rsidRPr="00122E1C">
        <w:rPr>
          <w:sz w:val="24"/>
          <w:szCs w:val="24"/>
        </w:rPr>
        <w:br/>
        <w:t>4. Strict safeguards against abusive financing arrangements</w:t>
      </w:r>
      <w:r w:rsidR="00543E94" w:rsidRPr="00122E1C">
        <w:rPr>
          <w:sz w:val="24"/>
          <w:szCs w:val="24"/>
        </w:rPr>
        <w:br/>
        <w:t xml:space="preserve">5. Data collection to assess outcomes and </w:t>
      </w:r>
      <w:r w:rsidR="007B4B88" w:rsidRPr="00122E1C">
        <w:rPr>
          <w:sz w:val="24"/>
          <w:szCs w:val="24"/>
        </w:rPr>
        <w:t>impacts.</w:t>
      </w:r>
    </w:p>
    <w:p w14:paraId="2F1FF76D" w14:textId="77777777" w:rsidR="00C21ABF" w:rsidRPr="00122E1C" w:rsidRDefault="00543E94" w:rsidP="00C00B8A">
      <w:pPr>
        <w:pStyle w:val="Heading1"/>
        <w:spacing w:line="240" w:lineRule="auto"/>
        <w:rPr>
          <w:rFonts w:asciiTheme="minorHAnsi" w:hAnsiTheme="minorHAnsi"/>
          <w:sz w:val="24"/>
          <w:szCs w:val="24"/>
        </w:rPr>
      </w:pPr>
      <w:r w:rsidRPr="00122E1C">
        <w:rPr>
          <w:rFonts w:asciiTheme="minorHAnsi" w:hAnsiTheme="minorHAnsi"/>
          <w:sz w:val="24"/>
          <w:szCs w:val="24"/>
        </w:rPr>
        <w:t>Conclusion</w:t>
      </w:r>
    </w:p>
    <w:p w14:paraId="71893C49" w14:textId="77777777" w:rsidR="00910FD2" w:rsidRPr="00122E1C" w:rsidRDefault="00543E94" w:rsidP="00C00B8A">
      <w:pPr>
        <w:spacing w:after="0" w:line="240" w:lineRule="auto"/>
        <w:rPr>
          <w:sz w:val="24"/>
          <w:szCs w:val="24"/>
        </w:rPr>
      </w:pPr>
      <w:r w:rsidRPr="00122E1C">
        <w:rPr>
          <w:sz w:val="24"/>
          <w:szCs w:val="24"/>
        </w:rPr>
        <w:t>A uniform national approach risks addressing the wrong problem in many jurisdictions. Consumer bankruptcy practice is inherently local, and effective reform must reflect that reality.</w:t>
      </w:r>
    </w:p>
    <w:p w14:paraId="4745D361" w14:textId="77777777" w:rsidR="00B402D3" w:rsidRDefault="00910FD2" w:rsidP="00B402D3">
      <w:pPr>
        <w:spacing w:after="0" w:line="240" w:lineRule="auto"/>
        <w:jc w:val="center"/>
        <w:rPr>
          <w:b/>
          <w:bCs/>
          <w:sz w:val="24"/>
          <w:szCs w:val="24"/>
        </w:rPr>
      </w:pPr>
      <w:r w:rsidRPr="00122E1C">
        <w:rPr>
          <w:b/>
          <w:bCs/>
          <w:sz w:val="24"/>
          <w:szCs w:val="24"/>
        </w:rPr>
        <w:lastRenderedPageBreak/>
        <w:t>Access to bankruptcy relief depends not only on attorney fee structure, but on exemptions, creditor remedies, and local economic conditions.</w:t>
      </w:r>
    </w:p>
    <w:p w14:paraId="7863E14B" w14:textId="16654CF3" w:rsidR="00C21ABF" w:rsidRPr="00122E1C" w:rsidRDefault="00543E94" w:rsidP="00B402D3">
      <w:pPr>
        <w:spacing w:after="0" w:line="240" w:lineRule="auto"/>
        <w:rPr>
          <w:sz w:val="24"/>
          <w:szCs w:val="24"/>
        </w:rPr>
      </w:pPr>
      <w:r w:rsidRPr="00122E1C">
        <w:rPr>
          <w:sz w:val="24"/>
          <w:szCs w:val="24"/>
        </w:rPr>
        <w:br/>
      </w:r>
      <w:r w:rsidRPr="00122E1C">
        <w:rPr>
          <w:sz w:val="24"/>
          <w:szCs w:val="24"/>
        </w:rPr>
        <w:br/>
        <w:t>NACBA stands ready to continue working with Congress and stakeholders to develop solutions that expand access while preserving the integrity and sustainability of consumer bankruptcy practice.</w:t>
      </w:r>
    </w:p>
    <w:sectPr w:rsidR="00C21ABF" w:rsidRPr="00122E1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9D2E8B"/>
    <w:multiLevelType w:val="multilevel"/>
    <w:tmpl w:val="7DD83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0A868CF"/>
    <w:multiLevelType w:val="multilevel"/>
    <w:tmpl w:val="1472E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1681611"/>
    <w:multiLevelType w:val="multilevel"/>
    <w:tmpl w:val="70EA5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24B163D"/>
    <w:multiLevelType w:val="hybridMultilevel"/>
    <w:tmpl w:val="BB228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5C1DED"/>
    <w:multiLevelType w:val="hybridMultilevel"/>
    <w:tmpl w:val="AC4EB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C928C2"/>
    <w:multiLevelType w:val="multilevel"/>
    <w:tmpl w:val="8752C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E96690"/>
    <w:multiLevelType w:val="hybridMultilevel"/>
    <w:tmpl w:val="D382D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C220F6"/>
    <w:multiLevelType w:val="hybridMultilevel"/>
    <w:tmpl w:val="4C129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7C1312"/>
    <w:multiLevelType w:val="multilevel"/>
    <w:tmpl w:val="B0A67D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E32160"/>
    <w:multiLevelType w:val="multilevel"/>
    <w:tmpl w:val="30209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7776D0"/>
    <w:multiLevelType w:val="multilevel"/>
    <w:tmpl w:val="C838A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F82BF6"/>
    <w:multiLevelType w:val="hybridMultilevel"/>
    <w:tmpl w:val="90DA9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EB68E0"/>
    <w:multiLevelType w:val="multilevel"/>
    <w:tmpl w:val="2B688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B47205"/>
    <w:multiLevelType w:val="hybridMultilevel"/>
    <w:tmpl w:val="D1DEE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234D85"/>
    <w:multiLevelType w:val="multilevel"/>
    <w:tmpl w:val="47A87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706C1B"/>
    <w:multiLevelType w:val="hybridMultilevel"/>
    <w:tmpl w:val="4204D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B14B58"/>
    <w:multiLevelType w:val="multilevel"/>
    <w:tmpl w:val="4E86E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BC0010"/>
    <w:multiLevelType w:val="multilevel"/>
    <w:tmpl w:val="092888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690495">
    <w:abstractNumId w:val="8"/>
  </w:num>
  <w:num w:numId="2" w16cid:durableId="2059548860">
    <w:abstractNumId w:val="6"/>
  </w:num>
  <w:num w:numId="3" w16cid:durableId="2079742698">
    <w:abstractNumId w:val="5"/>
  </w:num>
  <w:num w:numId="4" w16cid:durableId="200481907">
    <w:abstractNumId w:val="4"/>
  </w:num>
  <w:num w:numId="5" w16cid:durableId="210193266">
    <w:abstractNumId w:val="7"/>
  </w:num>
  <w:num w:numId="6" w16cid:durableId="1114324545">
    <w:abstractNumId w:val="3"/>
  </w:num>
  <w:num w:numId="7" w16cid:durableId="2118330745">
    <w:abstractNumId w:val="2"/>
  </w:num>
  <w:num w:numId="8" w16cid:durableId="1010986961">
    <w:abstractNumId w:val="1"/>
  </w:num>
  <w:num w:numId="9" w16cid:durableId="764571755">
    <w:abstractNumId w:val="0"/>
  </w:num>
  <w:num w:numId="10" w16cid:durableId="2098555669">
    <w:abstractNumId w:val="20"/>
  </w:num>
  <w:num w:numId="11" w16cid:durableId="1161387442">
    <w:abstractNumId w:val="9"/>
  </w:num>
  <w:num w:numId="12" w16cid:durableId="1630934998">
    <w:abstractNumId w:val="18"/>
  </w:num>
  <w:num w:numId="13" w16cid:durableId="1510408316">
    <w:abstractNumId w:val="21"/>
  </w:num>
  <w:num w:numId="14" w16cid:durableId="869607465">
    <w:abstractNumId w:val="19"/>
  </w:num>
  <w:num w:numId="15" w16cid:durableId="213467460">
    <w:abstractNumId w:val="25"/>
  </w:num>
  <w:num w:numId="16" w16cid:durableId="2024555380">
    <w:abstractNumId w:val="14"/>
  </w:num>
  <w:num w:numId="17" w16cid:durableId="1984892750">
    <w:abstractNumId w:val="10"/>
  </w:num>
  <w:num w:numId="18" w16cid:durableId="914163694">
    <w:abstractNumId w:val="23"/>
  </w:num>
  <w:num w:numId="19" w16cid:durableId="1041781067">
    <w:abstractNumId w:val="26"/>
  </w:num>
  <w:num w:numId="20" w16cid:durableId="1932615680">
    <w:abstractNumId w:val="11"/>
  </w:num>
  <w:num w:numId="21" w16cid:durableId="1372607810">
    <w:abstractNumId w:val="17"/>
  </w:num>
  <w:num w:numId="22" w16cid:durableId="1988629459">
    <w:abstractNumId w:val="15"/>
  </w:num>
  <w:num w:numId="23" w16cid:durableId="1603805181">
    <w:abstractNumId w:val="22"/>
  </w:num>
  <w:num w:numId="24" w16cid:durableId="1584341554">
    <w:abstractNumId w:val="12"/>
  </w:num>
  <w:num w:numId="25" w16cid:durableId="1072629529">
    <w:abstractNumId w:val="24"/>
  </w:num>
  <w:num w:numId="26" w16cid:durableId="479346129">
    <w:abstractNumId w:val="16"/>
  </w:num>
  <w:num w:numId="27" w16cid:durableId="13044325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7575B"/>
    <w:rsid w:val="000973A4"/>
    <w:rsid w:val="000D106C"/>
    <w:rsid w:val="00122E1C"/>
    <w:rsid w:val="00142DED"/>
    <w:rsid w:val="0015074B"/>
    <w:rsid w:val="00272BD8"/>
    <w:rsid w:val="00294613"/>
    <w:rsid w:val="0029639D"/>
    <w:rsid w:val="002C00AC"/>
    <w:rsid w:val="002F3126"/>
    <w:rsid w:val="00326F90"/>
    <w:rsid w:val="003316DC"/>
    <w:rsid w:val="003941A0"/>
    <w:rsid w:val="003C1261"/>
    <w:rsid w:val="003E2B4B"/>
    <w:rsid w:val="004875E4"/>
    <w:rsid w:val="004C1643"/>
    <w:rsid w:val="00543E94"/>
    <w:rsid w:val="005736F7"/>
    <w:rsid w:val="00632377"/>
    <w:rsid w:val="006C36D9"/>
    <w:rsid w:val="00747844"/>
    <w:rsid w:val="007B4B88"/>
    <w:rsid w:val="007F6732"/>
    <w:rsid w:val="008653F4"/>
    <w:rsid w:val="00893483"/>
    <w:rsid w:val="00910FD2"/>
    <w:rsid w:val="009511D9"/>
    <w:rsid w:val="00A4390D"/>
    <w:rsid w:val="00A96382"/>
    <w:rsid w:val="00AA1D8D"/>
    <w:rsid w:val="00AB2FEA"/>
    <w:rsid w:val="00AE46D4"/>
    <w:rsid w:val="00B16FAE"/>
    <w:rsid w:val="00B402D3"/>
    <w:rsid w:val="00B47730"/>
    <w:rsid w:val="00BD1F53"/>
    <w:rsid w:val="00C00B8A"/>
    <w:rsid w:val="00C21ABF"/>
    <w:rsid w:val="00C87B56"/>
    <w:rsid w:val="00CB0664"/>
    <w:rsid w:val="00CD6A49"/>
    <w:rsid w:val="00D1320F"/>
    <w:rsid w:val="00D54E2F"/>
    <w:rsid w:val="00F64F0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DBD06074-08EC-479A-8ABC-87E0EB729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89348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1673</Words>
  <Characters>10024</Characters>
  <Application>Microsoft Office Word</Application>
  <DocSecurity>0</DocSecurity>
  <Lines>227</Lines>
  <Paragraphs>131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11566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Edward Boltz</cp:lastModifiedBy>
  <cp:revision>35</cp:revision>
  <dcterms:created xsi:type="dcterms:W3CDTF">2013-12-23T23:15:00Z</dcterms:created>
  <dcterms:modified xsi:type="dcterms:W3CDTF">2026-07-12T20:45:00Z</dcterms:modified>
  <cp:category/>
</cp:coreProperties>
</file>