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12B56" w14:textId="12FDB7E8" w:rsidR="007F1FF2" w:rsidRPr="00720615" w:rsidRDefault="003B797D" w:rsidP="003B797D">
      <w:pPr>
        <w:jc w:val="both"/>
        <w:rPr>
          <w:rFonts w:ascii="Times New Roman" w:hAnsi="Times New Roman" w:cs="Times New Roman"/>
          <w:b/>
          <w:bCs/>
          <w:sz w:val="24"/>
          <w:szCs w:val="24"/>
        </w:rPr>
      </w:pPr>
      <w:r w:rsidRPr="00720615">
        <w:rPr>
          <w:rFonts w:ascii="Times New Roman" w:hAnsi="Times New Roman" w:cs="Times New Roman"/>
          <w:b/>
          <w:bCs/>
          <w:sz w:val="24"/>
          <w:szCs w:val="24"/>
        </w:rPr>
        <w:t>North Carolina Student Loan Adversary Proceeding Suggestions:</w:t>
      </w:r>
    </w:p>
    <w:p w14:paraId="6247A22A" w14:textId="77777777" w:rsidR="003B797D" w:rsidRPr="00720615" w:rsidRDefault="003B797D" w:rsidP="003B797D">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222222"/>
          <w:sz w:val="24"/>
          <w:szCs w:val="24"/>
        </w:rPr>
      </w:pPr>
      <w:r w:rsidRPr="00720615">
        <w:rPr>
          <w:rFonts w:ascii="Times New Roman" w:eastAsia="Times New Roman" w:hAnsi="Times New Roman" w:cs="Times New Roman"/>
          <w:b/>
          <w:bCs/>
          <w:color w:val="222222"/>
          <w:sz w:val="24"/>
          <w:szCs w:val="24"/>
        </w:rPr>
        <w:t>Standing Order in Aid of Administration:</w:t>
      </w:r>
      <w:r w:rsidRPr="00720615">
        <w:rPr>
          <w:rFonts w:ascii="Times New Roman" w:eastAsia="Times New Roman" w:hAnsi="Times New Roman" w:cs="Times New Roman"/>
          <w:color w:val="222222"/>
          <w:sz w:val="24"/>
          <w:szCs w:val="24"/>
        </w:rPr>
        <w:t>  The bankruptcy courts should enter a  standing order  regarding any Adversary Proceeding brought against the federal government (and, if there is a subsequent "Dear Colleague" letter mirroring the guidance, for government guaranteed loans, usually represented by ECMC)  for the discharge of government student loans under 11 USC 523(a)(8) and/or 1328(a)(2),  that provides:</w:t>
      </w:r>
    </w:p>
    <w:p w14:paraId="71252010" w14:textId="77777777" w:rsidR="003B797D" w:rsidRPr="00720615" w:rsidRDefault="003B797D" w:rsidP="003B797D">
      <w:pPr>
        <w:numPr>
          <w:ilvl w:val="1"/>
          <w:numId w:val="1"/>
        </w:numPr>
        <w:shd w:val="clear" w:color="auto" w:fill="FFFFFF"/>
        <w:spacing w:before="100" w:beforeAutospacing="1" w:after="100" w:afterAutospacing="1" w:line="240" w:lineRule="auto"/>
        <w:jc w:val="both"/>
        <w:rPr>
          <w:rFonts w:ascii="Times New Roman" w:eastAsia="Times New Roman" w:hAnsi="Times New Roman" w:cs="Times New Roman"/>
          <w:color w:val="222222"/>
          <w:sz w:val="24"/>
          <w:szCs w:val="24"/>
        </w:rPr>
      </w:pPr>
      <w:r w:rsidRPr="00720615">
        <w:rPr>
          <w:rFonts w:ascii="Times New Roman" w:eastAsia="Times New Roman" w:hAnsi="Times New Roman" w:cs="Times New Roman"/>
          <w:color w:val="222222"/>
          <w:sz w:val="24"/>
          <w:szCs w:val="24"/>
        </w:rPr>
        <w:t xml:space="preserve">The time for the United States to file an </w:t>
      </w:r>
      <w:proofErr w:type="gramStart"/>
      <w:r w:rsidRPr="00720615">
        <w:rPr>
          <w:rFonts w:ascii="Times New Roman" w:eastAsia="Times New Roman" w:hAnsi="Times New Roman" w:cs="Times New Roman"/>
          <w:color w:val="222222"/>
          <w:sz w:val="24"/>
          <w:szCs w:val="24"/>
        </w:rPr>
        <w:t>Answer  is</w:t>
      </w:r>
      <w:proofErr w:type="gramEnd"/>
      <w:r w:rsidRPr="00720615">
        <w:rPr>
          <w:rFonts w:ascii="Times New Roman" w:eastAsia="Times New Roman" w:hAnsi="Times New Roman" w:cs="Times New Roman"/>
          <w:color w:val="222222"/>
          <w:sz w:val="24"/>
          <w:szCs w:val="24"/>
        </w:rPr>
        <w:t xml:space="preserve"> extended to 120 days. This is twice as long as the time allowed under Rule 12(a)(2) and is meant to provide  the Department of Education sufficient time to  provide the US Attorney and Debtor's counsel with its recommendation under the guidance regarding stipulation to discharge;</w:t>
      </w:r>
    </w:p>
    <w:p w14:paraId="384BFADA" w14:textId="77777777" w:rsidR="003B797D" w:rsidRPr="00720615" w:rsidRDefault="003B797D" w:rsidP="003B797D">
      <w:pPr>
        <w:numPr>
          <w:ilvl w:val="1"/>
          <w:numId w:val="1"/>
        </w:numPr>
        <w:shd w:val="clear" w:color="auto" w:fill="FFFFFF"/>
        <w:spacing w:before="100" w:beforeAutospacing="1" w:after="100" w:afterAutospacing="1" w:line="240" w:lineRule="auto"/>
        <w:jc w:val="both"/>
        <w:rPr>
          <w:rFonts w:ascii="Times New Roman" w:eastAsia="Times New Roman" w:hAnsi="Times New Roman" w:cs="Times New Roman"/>
          <w:color w:val="222222"/>
          <w:sz w:val="24"/>
          <w:szCs w:val="24"/>
        </w:rPr>
      </w:pPr>
      <w:r w:rsidRPr="00720615">
        <w:rPr>
          <w:rFonts w:ascii="Times New Roman" w:eastAsia="Times New Roman" w:hAnsi="Times New Roman" w:cs="Times New Roman"/>
          <w:color w:val="222222"/>
          <w:sz w:val="24"/>
          <w:szCs w:val="24"/>
        </w:rPr>
        <w:t>This time can be extended further for good cause under Rule 6(b);</w:t>
      </w:r>
    </w:p>
    <w:p w14:paraId="55E34C8B" w14:textId="77777777" w:rsidR="003B797D" w:rsidRPr="00720615" w:rsidRDefault="003B797D" w:rsidP="003B797D">
      <w:pPr>
        <w:numPr>
          <w:ilvl w:val="1"/>
          <w:numId w:val="1"/>
        </w:numPr>
        <w:shd w:val="clear" w:color="auto" w:fill="FFFFFF"/>
        <w:spacing w:before="100" w:beforeAutospacing="1" w:after="100" w:afterAutospacing="1" w:line="240" w:lineRule="auto"/>
        <w:jc w:val="both"/>
        <w:rPr>
          <w:rFonts w:ascii="Times New Roman" w:eastAsia="Times New Roman" w:hAnsi="Times New Roman" w:cs="Times New Roman"/>
          <w:color w:val="222222"/>
          <w:sz w:val="24"/>
          <w:szCs w:val="24"/>
        </w:rPr>
      </w:pPr>
      <w:r w:rsidRPr="00720615">
        <w:rPr>
          <w:rFonts w:ascii="Times New Roman" w:eastAsia="Times New Roman" w:hAnsi="Times New Roman" w:cs="Times New Roman"/>
          <w:color w:val="222222"/>
          <w:sz w:val="24"/>
          <w:szCs w:val="24"/>
        </w:rPr>
        <w:t>The time for holding a pre-trial scheduling conference under Rule 26(f) is similarly extended;</w:t>
      </w:r>
    </w:p>
    <w:p w14:paraId="0BFC580D" w14:textId="77777777" w:rsidR="003B797D" w:rsidRPr="00720615" w:rsidRDefault="003B797D" w:rsidP="003B797D">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222222"/>
          <w:sz w:val="24"/>
          <w:szCs w:val="24"/>
        </w:rPr>
      </w:pPr>
      <w:r w:rsidRPr="00720615">
        <w:rPr>
          <w:rFonts w:ascii="Times New Roman" w:eastAsia="Times New Roman" w:hAnsi="Times New Roman" w:cs="Times New Roman"/>
          <w:b/>
          <w:bCs/>
          <w:color w:val="222222"/>
          <w:sz w:val="24"/>
          <w:szCs w:val="24"/>
        </w:rPr>
        <w:t>Abandonment of Assets:</w:t>
      </w:r>
      <w:r w:rsidRPr="00720615">
        <w:rPr>
          <w:rFonts w:ascii="Times New Roman" w:eastAsia="Times New Roman" w:hAnsi="Times New Roman" w:cs="Times New Roman"/>
          <w:color w:val="222222"/>
          <w:sz w:val="24"/>
          <w:szCs w:val="24"/>
        </w:rPr>
        <w:t xml:space="preserve">  Pursuant to 11 USC </w:t>
      </w:r>
      <w:proofErr w:type="gramStart"/>
      <w:r w:rsidRPr="00720615">
        <w:rPr>
          <w:rFonts w:ascii="Times New Roman" w:eastAsia="Times New Roman" w:hAnsi="Times New Roman" w:cs="Times New Roman"/>
          <w:color w:val="222222"/>
          <w:sz w:val="24"/>
          <w:szCs w:val="24"/>
        </w:rPr>
        <w:t>554,  disclosed</w:t>
      </w:r>
      <w:proofErr w:type="gramEnd"/>
      <w:r w:rsidRPr="00720615">
        <w:rPr>
          <w:rFonts w:ascii="Times New Roman" w:eastAsia="Times New Roman" w:hAnsi="Times New Roman" w:cs="Times New Roman"/>
          <w:color w:val="222222"/>
          <w:sz w:val="24"/>
          <w:szCs w:val="24"/>
        </w:rPr>
        <w:t xml:space="preserve"> assets of the bankruptcy estate are not abandoned by the estate until either the closure (not merely entry of discharge) of the bankruptcy  or the entry of an order  finding that the administration of "any property of the estate ... is burdensome or ... of inconsequential value...."  </w:t>
      </w:r>
    </w:p>
    <w:p w14:paraId="6ACA9F3F" w14:textId="77777777" w:rsidR="003B797D" w:rsidRPr="00720615" w:rsidRDefault="003B797D" w:rsidP="003B797D">
      <w:pPr>
        <w:numPr>
          <w:ilvl w:val="1"/>
          <w:numId w:val="1"/>
        </w:numPr>
        <w:shd w:val="clear" w:color="auto" w:fill="FFFFFF"/>
        <w:spacing w:before="100" w:beforeAutospacing="1" w:after="100" w:afterAutospacing="1" w:line="240" w:lineRule="auto"/>
        <w:jc w:val="both"/>
        <w:rPr>
          <w:rFonts w:ascii="Times New Roman" w:eastAsia="Times New Roman" w:hAnsi="Times New Roman" w:cs="Times New Roman"/>
          <w:color w:val="222222"/>
          <w:sz w:val="24"/>
          <w:szCs w:val="24"/>
        </w:rPr>
      </w:pPr>
      <w:r w:rsidRPr="00720615">
        <w:rPr>
          <w:rFonts w:ascii="Times New Roman" w:eastAsia="Times New Roman" w:hAnsi="Times New Roman" w:cs="Times New Roman"/>
          <w:color w:val="222222"/>
          <w:sz w:val="24"/>
          <w:szCs w:val="24"/>
        </w:rPr>
        <w:t>The concern in Chapter 7 cases is that while a Student Loan Adversary Proceeding is pending,  likely holding the case open for at least another six months,  the assets which would have otherwise been abandoned back to the control of the debtor upon the filing of a Report of No Assets,  discharge and closure of the case,  will remain subject to the oversight and control of the Trustee.  </w:t>
      </w:r>
    </w:p>
    <w:p w14:paraId="7A4C1A63" w14:textId="77777777" w:rsidR="003B797D" w:rsidRPr="00720615" w:rsidRDefault="003B797D" w:rsidP="003B797D">
      <w:pPr>
        <w:numPr>
          <w:ilvl w:val="1"/>
          <w:numId w:val="1"/>
        </w:numPr>
        <w:shd w:val="clear" w:color="auto" w:fill="FFFFFF"/>
        <w:spacing w:before="100" w:beforeAutospacing="1" w:after="100" w:afterAutospacing="1" w:line="240" w:lineRule="auto"/>
        <w:jc w:val="both"/>
        <w:rPr>
          <w:rFonts w:ascii="Times New Roman" w:eastAsia="Times New Roman" w:hAnsi="Times New Roman" w:cs="Times New Roman"/>
          <w:color w:val="222222"/>
          <w:sz w:val="24"/>
          <w:szCs w:val="24"/>
        </w:rPr>
      </w:pPr>
      <w:r w:rsidRPr="00720615">
        <w:rPr>
          <w:rFonts w:ascii="Times New Roman" w:eastAsia="Times New Roman" w:hAnsi="Times New Roman" w:cs="Times New Roman"/>
          <w:color w:val="222222"/>
          <w:sz w:val="24"/>
          <w:szCs w:val="24"/>
        </w:rPr>
        <w:t>Debtors can solve this through filing a Motion to Abandon or by allowing the case to close and then seeking to re-open it,  but both of these add additional costs and delay.  </w:t>
      </w:r>
    </w:p>
    <w:p w14:paraId="549D3463" w14:textId="77777777" w:rsidR="003B797D" w:rsidRPr="00720615" w:rsidRDefault="003B797D" w:rsidP="003B797D">
      <w:pPr>
        <w:numPr>
          <w:ilvl w:val="1"/>
          <w:numId w:val="1"/>
        </w:numPr>
        <w:shd w:val="clear" w:color="auto" w:fill="FFFFFF"/>
        <w:spacing w:before="100" w:beforeAutospacing="1" w:after="100" w:afterAutospacing="1" w:line="240" w:lineRule="auto"/>
        <w:jc w:val="both"/>
        <w:rPr>
          <w:rFonts w:ascii="Times New Roman" w:eastAsia="Times New Roman" w:hAnsi="Times New Roman" w:cs="Times New Roman"/>
          <w:color w:val="222222"/>
          <w:sz w:val="24"/>
          <w:szCs w:val="24"/>
        </w:rPr>
      </w:pPr>
      <w:r w:rsidRPr="00720615">
        <w:rPr>
          <w:rFonts w:ascii="Times New Roman" w:eastAsia="Times New Roman" w:hAnsi="Times New Roman" w:cs="Times New Roman"/>
          <w:color w:val="222222"/>
          <w:sz w:val="24"/>
          <w:szCs w:val="24"/>
        </w:rPr>
        <w:t>The Bankruptcy Administrators should  clearly and publicly make clear to the Chapter 7 Panel Trustees that:</w:t>
      </w:r>
    </w:p>
    <w:p w14:paraId="2DEF8D83" w14:textId="77777777" w:rsidR="003B797D" w:rsidRPr="00720615" w:rsidRDefault="003B797D" w:rsidP="003B797D">
      <w:pPr>
        <w:numPr>
          <w:ilvl w:val="2"/>
          <w:numId w:val="1"/>
        </w:numPr>
        <w:shd w:val="clear" w:color="auto" w:fill="FFFFFF"/>
        <w:spacing w:before="100" w:beforeAutospacing="1" w:after="100" w:afterAutospacing="1" w:line="240" w:lineRule="auto"/>
        <w:jc w:val="both"/>
        <w:rPr>
          <w:rFonts w:ascii="Times New Roman" w:eastAsia="Times New Roman" w:hAnsi="Times New Roman" w:cs="Times New Roman"/>
          <w:color w:val="222222"/>
          <w:sz w:val="24"/>
          <w:szCs w:val="24"/>
        </w:rPr>
      </w:pPr>
      <w:r w:rsidRPr="00720615">
        <w:rPr>
          <w:rFonts w:ascii="Times New Roman" w:eastAsia="Times New Roman" w:hAnsi="Times New Roman" w:cs="Times New Roman"/>
          <w:color w:val="222222"/>
          <w:sz w:val="24"/>
          <w:szCs w:val="24"/>
        </w:rPr>
        <w:t>Without prejudice to pursuing undisclosed assets or in circumstances where there is fraud:</w:t>
      </w:r>
    </w:p>
    <w:p w14:paraId="5A14A25F" w14:textId="77777777" w:rsidR="003B797D" w:rsidRPr="00720615" w:rsidRDefault="003B797D" w:rsidP="003B797D">
      <w:pPr>
        <w:numPr>
          <w:ilvl w:val="3"/>
          <w:numId w:val="1"/>
        </w:numPr>
        <w:shd w:val="clear" w:color="auto" w:fill="FFFFFF"/>
        <w:spacing w:before="100" w:beforeAutospacing="1" w:after="100" w:afterAutospacing="1" w:line="240" w:lineRule="auto"/>
        <w:jc w:val="both"/>
        <w:rPr>
          <w:rFonts w:ascii="Times New Roman" w:eastAsia="Times New Roman" w:hAnsi="Times New Roman" w:cs="Times New Roman"/>
          <w:color w:val="222222"/>
          <w:sz w:val="24"/>
          <w:szCs w:val="24"/>
        </w:rPr>
      </w:pPr>
      <w:r w:rsidRPr="00720615">
        <w:rPr>
          <w:rFonts w:ascii="Times New Roman" w:eastAsia="Times New Roman" w:hAnsi="Times New Roman" w:cs="Times New Roman"/>
          <w:color w:val="222222"/>
          <w:sz w:val="24"/>
          <w:szCs w:val="24"/>
        </w:rPr>
        <w:t>The filing of a Report of No Assets should not be delayed due to a pending Student Loan Adversary Proceeding;</w:t>
      </w:r>
    </w:p>
    <w:p w14:paraId="64A5F0CC" w14:textId="77777777" w:rsidR="003B797D" w:rsidRPr="00720615" w:rsidRDefault="003B797D" w:rsidP="003B797D">
      <w:pPr>
        <w:numPr>
          <w:ilvl w:val="2"/>
          <w:numId w:val="1"/>
        </w:numPr>
        <w:shd w:val="clear" w:color="auto" w:fill="FFFFFF"/>
        <w:spacing w:before="100" w:beforeAutospacing="1" w:after="100" w:afterAutospacing="1" w:line="240" w:lineRule="auto"/>
        <w:jc w:val="both"/>
        <w:rPr>
          <w:rFonts w:ascii="Times New Roman" w:eastAsia="Times New Roman" w:hAnsi="Times New Roman" w:cs="Times New Roman"/>
          <w:color w:val="222222"/>
          <w:sz w:val="24"/>
          <w:szCs w:val="24"/>
        </w:rPr>
      </w:pPr>
      <w:r w:rsidRPr="00720615">
        <w:rPr>
          <w:rFonts w:ascii="Times New Roman" w:eastAsia="Times New Roman" w:hAnsi="Times New Roman" w:cs="Times New Roman"/>
          <w:color w:val="222222"/>
          <w:sz w:val="24"/>
          <w:szCs w:val="24"/>
        </w:rPr>
        <w:t>Trustees should routinely agree Motions to Abandon after the filing of a Report of No Assets.</w:t>
      </w:r>
    </w:p>
    <w:p w14:paraId="4D13BD97" w14:textId="6CDC4BA1" w:rsidR="003B797D" w:rsidRPr="00720615" w:rsidRDefault="003B797D" w:rsidP="003B797D">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222222"/>
          <w:sz w:val="24"/>
          <w:szCs w:val="24"/>
        </w:rPr>
      </w:pPr>
      <w:r w:rsidRPr="00720615">
        <w:rPr>
          <w:rFonts w:ascii="Times New Roman" w:eastAsia="Times New Roman" w:hAnsi="Times New Roman" w:cs="Times New Roman"/>
          <w:b/>
          <w:bCs/>
          <w:color w:val="222222"/>
          <w:sz w:val="24"/>
          <w:szCs w:val="24"/>
        </w:rPr>
        <w:t>Reopening of Cases:</w:t>
      </w:r>
      <w:r w:rsidRPr="00720615">
        <w:rPr>
          <w:rFonts w:ascii="Times New Roman" w:eastAsia="Times New Roman" w:hAnsi="Times New Roman" w:cs="Times New Roman"/>
          <w:color w:val="222222"/>
          <w:sz w:val="24"/>
          <w:szCs w:val="24"/>
        </w:rPr>
        <w:t xml:space="preserve">  The Student Loan guidance applies to all cases pending on </w:t>
      </w:r>
      <w:r w:rsidR="00875F01">
        <w:rPr>
          <w:rFonts w:ascii="Times New Roman" w:eastAsia="Times New Roman" w:hAnsi="Times New Roman" w:cs="Times New Roman"/>
          <w:color w:val="FF0000"/>
          <w:sz w:val="24"/>
          <w:szCs w:val="24"/>
        </w:rPr>
        <w:t xml:space="preserve">or after </w:t>
      </w:r>
      <w:r w:rsidRPr="00720615">
        <w:rPr>
          <w:rFonts w:ascii="Times New Roman" w:eastAsia="Times New Roman" w:hAnsi="Times New Roman" w:cs="Times New Roman"/>
          <w:color w:val="222222"/>
          <w:sz w:val="24"/>
          <w:szCs w:val="24"/>
        </w:rPr>
        <w:t xml:space="preserve">November </w:t>
      </w:r>
      <w:proofErr w:type="gramStart"/>
      <w:r w:rsidRPr="00720615">
        <w:rPr>
          <w:rFonts w:ascii="Times New Roman" w:eastAsia="Times New Roman" w:hAnsi="Times New Roman" w:cs="Times New Roman"/>
          <w:color w:val="222222"/>
          <w:sz w:val="24"/>
          <w:szCs w:val="24"/>
        </w:rPr>
        <w:t>17,  2022</w:t>
      </w:r>
      <w:proofErr w:type="gramEnd"/>
      <w:r w:rsidRPr="00720615">
        <w:rPr>
          <w:rFonts w:ascii="Times New Roman" w:eastAsia="Times New Roman" w:hAnsi="Times New Roman" w:cs="Times New Roman"/>
          <w:color w:val="222222"/>
          <w:sz w:val="24"/>
          <w:szCs w:val="24"/>
        </w:rPr>
        <w:t>,  which precludes the re-opening of bankruptcy cases closed before that date to seek a discharge under this guidance.</w:t>
      </w:r>
    </w:p>
    <w:p w14:paraId="095D30E3" w14:textId="77777777" w:rsidR="003B797D" w:rsidRPr="00720615" w:rsidRDefault="003B797D" w:rsidP="003B797D">
      <w:pPr>
        <w:numPr>
          <w:ilvl w:val="1"/>
          <w:numId w:val="1"/>
        </w:numPr>
        <w:shd w:val="clear" w:color="auto" w:fill="FFFFFF"/>
        <w:spacing w:before="100" w:beforeAutospacing="1" w:after="100" w:afterAutospacing="1" w:line="240" w:lineRule="auto"/>
        <w:jc w:val="both"/>
        <w:rPr>
          <w:rFonts w:ascii="Times New Roman" w:eastAsia="Times New Roman" w:hAnsi="Times New Roman" w:cs="Times New Roman"/>
          <w:color w:val="222222"/>
          <w:sz w:val="24"/>
          <w:szCs w:val="24"/>
        </w:rPr>
      </w:pPr>
      <w:r w:rsidRPr="00720615">
        <w:rPr>
          <w:rFonts w:ascii="Times New Roman" w:eastAsia="Times New Roman" w:hAnsi="Times New Roman" w:cs="Times New Roman"/>
          <w:color w:val="222222"/>
          <w:sz w:val="24"/>
          <w:szCs w:val="24"/>
        </w:rPr>
        <w:t>This does allow the re-opening of cases closed since that date,  whether because the Debtor was unable to bring an AP quickly enough or in order to result in the abandonment of assets.  </w:t>
      </w:r>
    </w:p>
    <w:p w14:paraId="57291E93" w14:textId="656827A8" w:rsidR="003B797D" w:rsidRPr="00720615" w:rsidRDefault="003B797D" w:rsidP="003B797D">
      <w:pPr>
        <w:numPr>
          <w:ilvl w:val="1"/>
          <w:numId w:val="1"/>
        </w:numPr>
        <w:shd w:val="clear" w:color="auto" w:fill="FFFFFF"/>
        <w:spacing w:before="100" w:beforeAutospacing="1" w:after="100" w:afterAutospacing="1" w:line="240" w:lineRule="auto"/>
        <w:jc w:val="both"/>
        <w:rPr>
          <w:rFonts w:ascii="Times New Roman" w:eastAsia="Times New Roman" w:hAnsi="Times New Roman" w:cs="Times New Roman"/>
          <w:color w:val="222222"/>
          <w:sz w:val="24"/>
          <w:szCs w:val="24"/>
        </w:rPr>
      </w:pPr>
      <w:r w:rsidRPr="00720615">
        <w:rPr>
          <w:rFonts w:ascii="Times New Roman" w:eastAsia="Times New Roman" w:hAnsi="Times New Roman" w:cs="Times New Roman"/>
          <w:color w:val="222222"/>
          <w:sz w:val="24"/>
          <w:szCs w:val="24"/>
        </w:rPr>
        <w:t>This would require  a Motion to Reopen,  with the corresponding  costs,  including the filing fee to the bankruptcy court and attorney’s fees, delays,  and court hearings.</w:t>
      </w:r>
    </w:p>
    <w:p w14:paraId="5F86CA63" w14:textId="77777777" w:rsidR="003B797D" w:rsidRPr="00720615" w:rsidRDefault="003B797D" w:rsidP="003B797D">
      <w:pPr>
        <w:numPr>
          <w:ilvl w:val="1"/>
          <w:numId w:val="1"/>
        </w:numPr>
        <w:shd w:val="clear" w:color="auto" w:fill="FFFFFF"/>
        <w:spacing w:before="100" w:beforeAutospacing="1" w:after="100" w:afterAutospacing="1" w:line="240" w:lineRule="auto"/>
        <w:jc w:val="both"/>
        <w:rPr>
          <w:rFonts w:ascii="Times New Roman" w:eastAsia="Times New Roman" w:hAnsi="Times New Roman" w:cs="Times New Roman"/>
          <w:color w:val="222222"/>
          <w:sz w:val="24"/>
          <w:szCs w:val="24"/>
        </w:rPr>
      </w:pPr>
      <w:r w:rsidRPr="00720615">
        <w:rPr>
          <w:rFonts w:ascii="Times New Roman" w:eastAsia="Times New Roman" w:hAnsi="Times New Roman" w:cs="Times New Roman"/>
          <w:color w:val="222222"/>
          <w:sz w:val="24"/>
          <w:szCs w:val="24"/>
        </w:rPr>
        <w:lastRenderedPageBreak/>
        <w:t>Many bankruptcy courts,  however,  allow the commencement of Adversary Proceedings without requiring the re-opening of the underlying bankruptcy.  </w:t>
      </w:r>
      <w:r w:rsidRPr="00720615">
        <w:rPr>
          <w:rFonts w:ascii="Times New Roman" w:eastAsia="Times New Roman" w:hAnsi="Times New Roman" w:cs="Times New Roman"/>
          <w:b/>
          <w:bCs/>
          <w:color w:val="222222"/>
          <w:sz w:val="24"/>
          <w:szCs w:val="24"/>
        </w:rPr>
        <w:t>The Bankruptcy Court could include such clarification in a Standing Order.</w:t>
      </w:r>
    </w:p>
    <w:p w14:paraId="510F21C3" w14:textId="77777777" w:rsidR="003B797D" w:rsidRPr="00720615" w:rsidRDefault="003B797D" w:rsidP="003B797D">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222222"/>
          <w:sz w:val="24"/>
          <w:szCs w:val="24"/>
        </w:rPr>
      </w:pPr>
      <w:r w:rsidRPr="00720615">
        <w:rPr>
          <w:rFonts w:ascii="Times New Roman" w:eastAsia="Times New Roman" w:hAnsi="Times New Roman" w:cs="Times New Roman"/>
          <w:b/>
          <w:bCs/>
          <w:color w:val="222222"/>
          <w:sz w:val="24"/>
          <w:szCs w:val="24"/>
        </w:rPr>
        <w:t>Attorney Fees:</w:t>
      </w:r>
    </w:p>
    <w:p w14:paraId="4C8F21F6" w14:textId="3E33F2FB" w:rsidR="003B797D" w:rsidRPr="00720615" w:rsidRDefault="003B797D" w:rsidP="003B797D">
      <w:pPr>
        <w:numPr>
          <w:ilvl w:val="1"/>
          <w:numId w:val="1"/>
        </w:numPr>
        <w:shd w:val="clear" w:color="auto" w:fill="FFFFFF"/>
        <w:spacing w:before="100" w:beforeAutospacing="1" w:after="100" w:afterAutospacing="1" w:line="240" w:lineRule="auto"/>
        <w:jc w:val="both"/>
        <w:rPr>
          <w:rFonts w:ascii="Times New Roman" w:eastAsia="Times New Roman" w:hAnsi="Times New Roman" w:cs="Times New Roman"/>
          <w:color w:val="222222"/>
          <w:sz w:val="24"/>
          <w:szCs w:val="24"/>
        </w:rPr>
      </w:pPr>
      <w:r w:rsidRPr="00720615">
        <w:rPr>
          <w:rFonts w:ascii="Times New Roman" w:eastAsia="Times New Roman" w:hAnsi="Times New Roman" w:cs="Times New Roman"/>
          <w:b/>
          <w:bCs/>
          <w:color w:val="222222"/>
          <w:sz w:val="24"/>
          <w:szCs w:val="24"/>
        </w:rPr>
        <w:t>Pre-Bankruptcy or Pre-Adversary Proceeding Preparation:</w:t>
      </w:r>
      <w:r w:rsidRPr="00720615">
        <w:rPr>
          <w:rFonts w:ascii="Times New Roman" w:eastAsia="Times New Roman" w:hAnsi="Times New Roman" w:cs="Times New Roman"/>
          <w:color w:val="222222"/>
          <w:sz w:val="24"/>
          <w:szCs w:val="24"/>
        </w:rPr>
        <w:t>  In some circumstances, it may be advisable for a Debtor to "burnish"  their likelihood of a discharge by getting their student loans out of default,  enrolling in an Income Driven Repayment plan,  seeking a Total &amp; Permanent Disability administrative discharge,  etc. and may need the assistance of an attorney (which also counts under the guidance as other indicia of good faith efforts to handle student loans):</w:t>
      </w:r>
    </w:p>
    <w:p w14:paraId="2A16B854" w14:textId="01C257E2" w:rsidR="003B797D" w:rsidRPr="00720615" w:rsidRDefault="003B797D" w:rsidP="003B797D">
      <w:pPr>
        <w:numPr>
          <w:ilvl w:val="2"/>
          <w:numId w:val="1"/>
        </w:numPr>
        <w:shd w:val="clear" w:color="auto" w:fill="FFFFFF"/>
        <w:spacing w:before="100" w:beforeAutospacing="1" w:after="100" w:afterAutospacing="1" w:line="240" w:lineRule="auto"/>
        <w:jc w:val="both"/>
        <w:rPr>
          <w:rFonts w:ascii="Times New Roman" w:eastAsia="Times New Roman" w:hAnsi="Times New Roman" w:cs="Times New Roman"/>
          <w:color w:val="222222"/>
          <w:sz w:val="24"/>
          <w:szCs w:val="24"/>
        </w:rPr>
      </w:pPr>
      <w:r w:rsidRPr="00720615">
        <w:rPr>
          <w:rFonts w:ascii="Times New Roman" w:eastAsia="Times New Roman" w:hAnsi="Times New Roman" w:cs="Times New Roman"/>
          <w:color w:val="222222"/>
          <w:sz w:val="24"/>
          <w:szCs w:val="24"/>
        </w:rPr>
        <w:t>When provided within one year prior to the filing of bankruptcy,  pursuant to 11 USC 329,  the fees for these services should be disclosed in the bankruptcy petition,  but should not be a surprise to the Bankruptcy Administrators and subject to a strict scrutiny.</w:t>
      </w:r>
    </w:p>
    <w:p w14:paraId="17B22324" w14:textId="2DF23957" w:rsidR="003B797D" w:rsidRPr="00720615" w:rsidRDefault="003B797D" w:rsidP="003B797D">
      <w:pPr>
        <w:numPr>
          <w:ilvl w:val="2"/>
          <w:numId w:val="1"/>
        </w:numPr>
        <w:shd w:val="clear" w:color="auto" w:fill="FFFFFF"/>
        <w:spacing w:before="100" w:beforeAutospacing="1" w:after="100" w:afterAutospacing="1" w:line="240" w:lineRule="auto"/>
        <w:jc w:val="both"/>
        <w:rPr>
          <w:rFonts w:ascii="Times New Roman" w:eastAsia="Times New Roman" w:hAnsi="Times New Roman" w:cs="Times New Roman"/>
          <w:color w:val="222222"/>
          <w:sz w:val="24"/>
          <w:szCs w:val="24"/>
        </w:rPr>
      </w:pPr>
      <w:r w:rsidRPr="00720615">
        <w:rPr>
          <w:rFonts w:ascii="Times New Roman" w:eastAsia="Times New Roman" w:hAnsi="Times New Roman" w:cs="Times New Roman"/>
          <w:color w:val="222222"/>
          <w:sz w:val="24"/>
          <w:szCs w:val="24"/>
        </w:rPr>
        <w:t xml:space="preserve">When provided during a Chapter 13 case,  the Debtor’s attorney should be allowed </w:t>
      </w:r>
      <w:r w:rsidRPr="00720615">
        <w:rPr>
          <w:rFonts w:ascii="Times New Roman" w:eastAsia="Times New Roman" w:hAnsi="Times New Roman" w:cs="Times New Roman"/>
          <w:b/>
          <w:bCs/>
          <w:color w:val="222222"/>
          <w:sz w:val="24"/>
          <w:szCs w:val="24"/>
        </w:rPr>
        <w:t>a presumptive non-base fee of $750  for assistance with IDR enrollment,  consolidation/rehabilitation or TPD application, etc.</w:t>
      </w:r>
    </w:p>
    <w:p w14:paraId="44AA3FD0" w14:textId="77777777" w:rsidR="003B797D" w:rsidRPr="00720615" w:rsidRDefault="003B797D" w:rsidP="003B797D">
      <w:pPr>
        <w:numPr>
          <w:ilvl w:val="1"/>
          <w:numId w:val="1"/>
        </w:numPr>
        <w:shd w:val="clear" w:color="auto" w:fill="FFFFFF"/>
        <w:spacing w:before="100" w:beforeAutospacing="1" w:after="100" w:afterAutospacing="1" w:line="240" w:lineRule="auto"/>
        <w:jc w:val="both"/>
        <w:rPr>
          <w:rFonts w:ascii="Times New Roman" w:eastAsia="Times New Roman" w:hAnsi="Times New Roman" w:cs="Times New Roman"/>
          <w:color w:val="222222"/>
          <w:sz w:val="24"/>
          <w:szCs w:val="24"/>
        </w:rPr>
      </w:pPr>
      <w:r w:rsidRPr="00720615">
        <w:rPr>
          <w:rFonts w:ascii="Times New Roman" w:eastAsia="Times New Roman" w:hAnsi="Times New Roman" w:cs="Times New Roman"/>
          <w:b/>
          <w:bCs/>
          <w:color w:val="222222"/>
          <w:sz w:val="24"/>
          <w:szCs w:val="24"/>
        </w:rPr>
        <w:t>Chapter 7:  </w:t>
      </w:r>
      <w:r w:rsidRPr="00720615">
        <w:rPr>
          <w:rFonts w:ascii="Times New Roman" w:eastAsia="Times New Roman" w:hAnsi="Times New Roman" w:cs="Times New Roman"/>
          <w:color w:val="222222"/>
          <w:sz w:val="24"/>
          <w:szCs w:val="24"/>
        </w:rPr>
        <w:t>  As all of the local rules allow debtors and debtors' attorneys to exclude representation in Adversary Proceedings from the underlying bankruptcy representation,  there was clear consensus on the call that the only obligation would be the filing of a Supplemental Disclosure Pursuant to Rule 2016(b).  Those fees would,  of course, be subject to review by the Bankruptcy Administrator for reasonableness,  but would not otherwise be limited regarding post-petition payment and payment arrangements.</w:t>
      </w:r>
    </w:p>
    <w:p w14:paraId="525EEB79" w14:textId="77777777" w:rsidR="003B797D" w:rsidRPr="00720615" w:rsidRDefault="003B797D" w:rsidP="003B797D">
      <w:pPr>
        <w:numPr>
          <w:ilvl w:val="1"/>
          <w:numId w:val="1"/>
        </w:numPr>
        <w:shd w:val="clear" w:color="auto" w:fill="FFFFFF"/>
        <w:spacing w:before="100" w:beforeAutospacing="1" w:after="100" w:afterAutospacing="1" w:line="240" w:lineRule="auto"/>
        <w:jc w:val="both"/>
        <w:rPr>
          <w:rFonts w:ascii="Times New Roman" w:eastAsia="Times New Roman" w:hAnsi="Times New Roman" w:cs="Times New Roman"/>
          <w:color w:val="222222"/>
          <w:sz w:val="24"/>
          <w:szCs w:val="24"/>
        </w:rPr>
      </w:pPr>
      <w:r w:rsidRPr="00720615">
        <w:rPr>
          <w:rFonts w:ascii="Times New Roman" w:eastAsia="Times New Roman" w:hAnsi="Times New Roman" w:cs="Times New Roman"/>
          <w:b/>
          <w:bCs/>
          <w:color w:val="222222"/>
          <w:sz w:val="24"/>
          <w:szCs w:val="24"/>
        </w:rPr>
        <w:t>Chapter 13:</w:t>
      </w:r>
    </w:p>
    <w:p w14:paraId="1E7C63CA" w14:textId="458986A9" w:rsidR="003B797D" w:rsidRPr="00720615" w:rsidRDefault="003B797D" w:rsidP="003B797D">
      <w:pPr>
        <w:numPr>
          <w:ilvl w:val="2"/>
          <w:numId w:val="1"/>
        </w:numPr>
        <w:shd w:val="clear" w:color="auto" w:fill="FFFFFF"/>
        <w:spacing w:before="100" w:beforeAutospacing="1" w:after="100" w:afterAutospacing="1" w:line="240" w:lineRule="auto"/>
        <w:jc w:val="both"/>
        <w:rPr>
          <w:rFonts w:ascii="Times New Roman" w:eastAsia="Times New Roman" w:hAnsi="Times New Roman" w:cs="Times New Roman"/>
          <w:color w:val="222222"/>
          <w:sz w:val="24"/>
          <w:szCs w:val="24"/>
        </w:rPr>
      </w:pPr>
      <w:r w:rsidRPr="00720615">
        <w:rPr>
          <w:rFonts w:ascii="Times New Roman" w:eastAsia="Times New Roman" w:hAnsi="Times New Roman" w:cs="Times New Roman"/>
          <w:b/>
          <w:bCs/>
          <w:color w:val="222222"/>
          <w:sz w:val="24"/>
          <w:szCs w:val="24"/>
        </w:rPr>
        <w:t>It should be kept in mind that Debtors with any Disposable Income or non-exempt equity  will almost certainly not be eligible for a stipulated discharge  of student loans under the new guidance,  so the payment of attorney’s fees will not be at the expense of unsecured creditors.</w:t>
      </w:r>
    </w:p>
    <w:p w14:paraId="250D0644" w14:textId="77777777" w:rsidR="003B797D" w:rsidRPr="00720615" w:rsidRDefault="003B797D" w:rsidP="003B797D">
      <w:pPr>
        <w:numPr>
          <w:ilvl w:val="2"/>
          <w:numId w:val="1"/>
        </w:numPr>
        <w:shd w:val="clear" w:color="auto" w:fill="FFFFFF"/>
        <w:spacing w:before="100" w:beforeAutospacing="1" w:after="100" w:afterAutospacing="1" w:line="240" w:lineRule="auto"/>
        <w:jc w:val="both"/>
        <w:rPr>
          <w:rFonts w:ascii="Times New Roman" w:eastAsia="Times New Roman" w:hAnsi="Times New Roman" w:cs="Times New Roman"/>
          <w:color w:val="222222"/>
          <w:sz w:val="24"/>
          <w:szCs w:val="24"/>
        </w:rPr>
      </w:pPr>
      <w:r w:rsidRPr="00720615">
        <w:rPr>
          <w:rFonts w:ascii="Times New Roman" w:eastAsia="Times New Roman" w:hAnsi="Times New Roman" w:cs="Times New Roman"/>
          <w:b/>
          <w:bCs/>
          <w:color w:val="222222"/>
          <w:sz w:val="24"/>
          <w:szCs w:val="24"/>
        </w:rPr>
        <w:t>Analysis of Eligibility for Discharge</w:t>
      </w:r>
      <w:r w:rsidRPr="00720615">
        <w:rPr>
          <w:rFonts w:ascii="Times New Roman" w:eastAsia="Times New Roman" w:hAnsi="Times New Roman" w:cs="Times New Roman"/>
          <w:color w:val="222222"/>
          <w:sz w:val="24"/>
          <w:szCs w:val="24"/>
        </w:rPr>
        <w:t>:</w:t>
      </w:r>
      <w:r w:rsidRPr="00720615">
        <w:rPr>
          <w:rFonts w:ascii="Times New Roman" w:eastAsia="Times New Roman" w:hAnsi="Times New Roman" w:cs="Times New Roman"/>
          <w:b/>
          <w:bCs/>
          <w:color w:val="222222"/>
          <w:sz w:val="24"/>
          <w:szCs w:val="24"/>
        </w:rPr>
        <w:t> </w:t>
      </w:r>
      <w:r w:rsidRPr="00720615">
        <w:rPr>
          <w:rFonts w:ascii="Times New Roman" w:eastAsia="Times New Roman" w:hAnsi="Times New Roman" w:cs="Times New Roman"/>
          <w:color w:val="222222"/>
          <w:sz w:val="24"/>
          <w:szCs w:val="24"/>
        </w:rPr>
        <w:t>Attorneys should be paid for providing legal advice,  even if that advice is that under the guidance and the Debtor's current circumstances  their student loans are unlikely to be dischargeable.  In Chapter 13 cases,  this analysis will involve not only reviewing the Debtor's student loan history (from both the National Student Loan Data System (or NSLDS),  the Proofs of Claim and additional information from the Department of Education regarding payments under the standard and IDR plans)  but also updating their income and expenses,  often in cases that are years old.  </w:t>
      </w:r>
    </w:p>
    <w:p w14:paraId="7FB615EC" w14:textId="77777777" w:rsidR="003B797D" w:rsidRPr="00720615" w:rsidRDefault="003B797D" w:rsidP="003B797D">
      <w:pPr>
        <w:numPr>
          <w:ilvl w:val="3"/>
          <w:numId w:val="1"/>
        </w:numPr>
        <w:shd w:val="clear" w:color="auto" w:fill="FFFFFF"/>
        <w:spacing w:before="100" w:beforeAutospacing="1" w:after="100" w:afterAutospacing="1" w:line="240" w:lineRule="auto"/>
        <w:jc w:val="both"/>
        <w:rPr>
          <w:rFonts w:ascii="Times New Roman" w:eastAsia="Times New Roman" w:hAnsi="Times New Roman" w:cs="Times New Roman"/>
          <w:color w:val="222222"/>
          <w:sz w:val="24"/>
          <w:szCs w:val="24"/>
        </w:rPr>
      </w:pPr>
      <w:r w:rsidRPr="00720615">
        <w:rPr>
          <w:rFonts w:ascii="Times New Roman" w:eastAsia="Times New Roman" w:hAnsi="Times New Roman" w:cs="Times New Roman"/>
          <w:b/>
          <w:bCs/>
          <w:color w:val="222222"/>
          <w:sz w:val="24"/>
          <w:szCs w:val="24"/>
        </w:rPr>
        <w:t>Accordingly,  the debtor's attorney should be allowed an additional non-base  fee of $500.00 for providing this analysis to the debtor.  </w:t>
      </w:r>
      <w:r w:rsidRPr="00720615">
        <w:rPr>
          <w:rFonts w:ascii="Times New Roman" w:eastAsia="Times New Roman" w:hAnsi="Times New Roman" w:cs="Times New Roman"/>
          <w:color w:val="222222"/>
          <w:sz w:val="24"/>
          <w:szCs w:val="24"/>
        </w:rPr>
        <w:t>(Subject to the clear expectation that this will not be requested when such review was perfunctory or unnecessary,  for example for the Debtor that had and continues to have substantial disposable.)</w:t>
      </w:r>
    </w:p>
    <w:p w14:paraId="0773F9EC" w14:textId="77777777" w:rsidR="003B797D" w:rsidRPr="00720615" w:rsidRDefault="003B797D" w:rsidP="003B797D">
      <w:pPr>
        <w:numPr>
          <w:ilvl w:val="2"/>
          <w:numId w:val="1"/>
        </w:numPr>
        <w:shd w:val="clear" w:color="auto" w:fill="FFFFFF"/>
        <w:spacing w:before="100" w:beforeAutospacing="1" w:after="100" w:afterAutospacing="1" w:line="240" w:lineRule="auto"/>
        <w:jc w:val="both"/>
        <w:rPr>
          <w:rFonts w:ascii="Times New Roman" w:eastAsia="Times New Roman" w:hAnsi="Times New Roman" w:cs="Times New Roman"/>
          <w:color w:val="222222"/>
          <w:sz w:val="24"/>
          <w:szCs w:val="24"/>
        </w:rPr>
      </w:pPr>
      <w:r w:rsidRPr="00720615">
        <w:rPr>
          <w:rFonts w:ascii="Times New Roman" w:eastAsia="Times New Roman" w:hAnsi="Times New Roman" w:cs="Times New Roman"/>
          <w:b/>
          <w:bCs/>
          <w:color w:val="222222"/>
          <w:sz w:val="24"/>
          <w:szCs w:val="24"/>
        </w:rPr>
        <w:t>Complaint for Discharge through Stipulation:  </w:t>
      </w:r>
      <w:r w:rsidRPr="00720615">
        <w:rPr>
          <w:rFonts w:ascii="Times New Roman" w:eastAsia="Times New Roman" w:hAnsi="Times New Roman" w:cs="Times New Roman"/>
          <w:color w:val="222222"/>
          <w:sz w:val="24"/>
          <w:szCs w:val="24"/>
        </w:rPr>
        <w:t> The debtor's attorney should be allowed </w:t>
      </w:r>
      <w:r w:rsidRPr="00720615">
        <w:rPr>
          <w:rFonts w:ascii="Times New Roman" w:eastAsia="Times New Roman" w:hAnsi="Times New Roman" w:cs="Times New Roman"/>
          <w:b/>
          <w:bCs/>
          <w:color w:val="222222"/>
          <w:sz w:val="24"/>
          <w:szCs w:val="24"/>
        </w:rPr>
        <w:t xml:space="preserve">an additional non-base fee of $4,000.00 (for a total of </w:t>
      </w:r>
      <w:r w:rsidRPr="00720615">
        <w:rPr>
          <w:rFonts w:ascii="Times New Roman" w:eastAsia="Times New Roman" w:hAnsi="Times New Roman" w:cs="Times New Roman"/>
          <w:b/>
          <w:bCs/>
          <w:color w:val="222222"/>
          <w:sz w:val="24"/>
          <w:szCs w:val="24"/>
        </w:rPr>
        <w:lastRenderedPageBreak/>
        <w:t>$4,500.00)</w:t>
      </w:r>
      <w:r w:rsidRPr="00720615">
        <w:rPr>
          <w:rFonts w:ascii="Times New Roman" w:eastAsia="Times New Roman" w:hAnsi="Times New Roman" w:cs="Times New Roman"/>
          <w:color w:val="222222"/>
          <w:sz w:val="24"/>
          <w:szCs w:val="24"/>
        </w:rPr>
        <w:t>,  for bringing an Adversary Proceeding for the discharge of student loans, up to and including the entry of a Stipulated Judgment.</w:t>
      </w:r>
    </w:p>
    <w:p w14:paraId="07477787" w14:textId="53423D56" w:rsidR="003B797D" w:rsidRPr="00720615" w:rsidRDefault="003B797D" w:rsidP="003B797D">
      <w:pPr>
        <w:numPr>
          <w:ilvl w:val="3"/>
          <w:numId w:val="1"/>
        </w:numPr>
        <w:shd w:val="clear" w:color="auto" w:fill="FFFFFF"/>
        <w:spacing w:before="100" w:beforeAutospacing="1" w:after="100" w:afterAutospacing="1" w:line="240" w:lineRule="auto"/>
        <w:jc w:val="both"/>
        <w:rPr>
          <w:rFonts w:ascii="Times New Roman" w:eastAsia="Times New Roman" w:hAnsi="Times New Roman" w:cs="Times New Roman"/>
          <w:color w:val="222222"/>
          <w:sz w:val="24"/>
          <w:szCs w:val="24"/>
        </w:rPr>
      </w:pPr>
      <w:r w:rsidRPr="00720615">
        <w:rPr>
          <w:rFonts w:ascii="Times New Roman" w:eastAsia="Times New Roman" w:hAnsi="Times New Roman" w:cs="Times New Roman"/>
          <w:color w:val="222222"/>
          <w:sz w:val="24"/>
          <w:szCs w:val="24"/>
        </w:rPr>
        <w:t>Debtors’ attorneys should be gently encouraged in appropriate circumstances,  including for the very destitute or for those with smaller student loan balances,  to agree to a lower flat fee.</w:t>
      </w:r>
    </w:p>
    <w:p w14:paraId="5BC130A3" w14:textId="77777777" w:rsidR="003B797D" w:rsidRPr="00720615" w:rsidRDefault="003B797D" w:rsidP="003B797D">
      <w:pPr>
        <w:numPr>
          <w:ilvl w:val="2"/>
          <w:numId w:val="1"/>
        </w:numPr>
        <w:shd w:val="clear" w:color="auto" w:fill="FFFFFF"/>
        <w:spacing w:before="100" w:beforeAutospacing="1" w:after="100" w:afterAutospacing="1" w:line="240" w:lineRule="auto"/>
        <w:jc w:val="both"/>
        <w:rPr>
          <w:rFonts w:ascii="Times New Roman" w:eastAsia="Times New Roman" w:hAnsi="Times New Roman" w:cs="Times New Roman"/>
          <w:color w:val="222222"/>
          <w:sz w:val="24"/>
          <w:szCs w:val="24"/>
        </w:rPr>
      </w:pPr>
      <w:r w:rsidRPr="00720615">
        <w:rPr>
          <w:rFonts w:ascii="Times New Roman" w:eastAsia="Times New Roman" w:hAnsi="Times New Roman" w:cs="Times New Roman"/>
          <w:b/>
          <w:bCs/>
          <w:color w:val="222222"/>
          <w:sz w:val="24"/>
          <w:szCs w:val="24"/>
        </w:rPr>
        <w:t>Litigation Fees:  </w:t>
      </w:r>
      <w:r w:rsidRPr="00720615">
        <w:rPr>
          <w:rFonts w:ascii="Times New Roman" w:eastAsia="Times New Roman" w:hAnsi="Times New Roman" w:cs="Times New Roman"/>
          <w:color w:val="222222"/>
          <w:sz w:val="24"/>
          <w:szCs w:val="24"/>
        </w:rPr>
        <w:t>The debtor and debtor's attorney should be allowed to restrict the presumptive flat fee to exclude cases to which the federal government does not stipulate to a discharge of the student loans and the Adversary Proceeding continues with discovery,  trial,  etc.  </w:t>
      </w:r>
    </w:p>
    <w:p w14:paraId="1D73B8B4" w14:textId="77777777" w:rsidR="003B797D" w:rsidRPr="00720615" w:rsidRDefault="003B797D" w:rsidP="003B797D">
      <w:pPr>
        <w:numPr>
          <w:ilvl w:val="3"/>
          <w:numId w:val="1"/>
        </w:numPr>
        <w:shd w:val="clear" w:color="auto" w:fill="FFFFFF"/>
        <w:spacing w:before="100" w:beforeAutospacing="1" w:after="100" w:afterAutospacing="1" w:line="240" w:lineRule="auto"/>
        <w:jc w:val="both"/>
        <w:rPr>
          <w:rFonts w:ascii="Times New Roman" w:eastAsia="Times New Roman" w:hAnsi="Times New Roman" w:cs="Times New Roman"/>
          <w:color w:val="222222"/>
          <w:sz w:val="24"/>
          <w:szCs w:val="24"/>
        </w:rPr>
      </w:pPr>
      <w:r w:rsidRPr="00720615">
        <w:rPr>
          <w:rFonts w:ascii="Times New Roman" w:eastAsia="Times New Roman" w:hAnsi="Times New Roman" w:cs="Times New Roman"/>
          <w:color w:val="222222"/>
          <w:sz w:val="24"/>
          <w:szCs w:val="24"/>
        </w:rPr>
        <w:t>Absent such limitation,  debtors could insist that their attorney continue to press a discharge action without any personal expense,  regardless of how hopeless such a case might be.</w:t>
      </w:r>
    </w:p>
    <w:p w14:paraId="7B81A2E9" w14:textId="33DE7320" w:rsidR="003B797D" w:rsidRPr="00720615" w:rsidRDefault="003B797D" w:rsidP="003B797D">
      <w:pPr>
        <w:numPr>
          <w:ilvl w:val="2"/>
          <w:numId w:val="1"/>
        </w:numPr>
        <w:shd w:val="clear" w:color="auto" w:fill="FFFFFF"/>
        <w:spacing w:before="100" w:beforeAutospacing="1" w:after="100" w:afterAutospacing="1" w:line="240" w:lineRule="auto"/>
        <w:jc w:val="both"/>
        <w:rPr>
          <w:rFonts w:ascii="Times New Roman" w:eastAsia="Times New Roman" w:hAnsi="Times New Roman" w:cs="Times New Roman"/>
          <w:color w:val="222222"/>
          <w:sz w:val="24"/>
          <w:szCs w:val="24"/>
        </w:rPr>
      </w:pPr>
      <w:r w:rsidRPr="00720615">
        <w:rPr>
          <w:rFonts w:ascii="Times New Roman" w:eastAsia="Times New Roman" w:hAnsi="Times New Roman" w:cs="Times New Roman"/>
          <w:b/>
          <w:bCs/>
          <w:color w:val="222222"/>
          <w:sz w:val="24"/>
          <w:szCs w:val="24"/>
        </w:rPr>
        <w:t>Optional Hourly Billing:</w:t>
      </w:r>
      <w:r w:rsidRPr="00720615">
        <w:rPr>
          <w:rFonts w:ascii="Times New Roman" w:eastAsia="Times New Roman" w:hAnsi="Times New Roman" w:cs="Times New Roman"/>
          <w:color w:val="222222"/>
          <w:sz w:val="24"/>
          <w:szCs w:val="24"/>
        </w:rPr>
        <w:t>  Instead of a presumptive flat fee,  Debtors and debtors' attorneys should be allowed to agree to bring adversary proceedings with attorney’s fees to be billed on an hourly basis.</w:t>
      </w:r>
    </w:p>
    <w:p w14:paraId="3753B676" w14:textId="77777777" w:rsidR="003B797D" w:rsidRPr="00720615" w:rsidRDefault="003B797D" w:rsidP="003B797D">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222222"/>
          <w:sz w:val="24"/>
          <w:szCs w:val="24"/>
        </w:rPr>
      </w:pPr>
      <w:r w:rsidRPr="00720615">
        <w:rPr>
          <w:rFonts w:ascii="Times New Roman" w:eastAsia="Times New Roman" w:hAnsi="Times New Roman" w:cs="Times New Roman"/>
          <w:b/>
          <w:bCs/>
          <w:color w:val="222222"/>
          <w:sz w:val="24"/>
          <w:szCs w:val="24"/>
        </w:rPr>
        <w:t>Limited Representation for Student Loan Adversary Proceeding:</w:t>
      </w:r>
      <w:r w:rsidRPr="00720615">
        <w:rPr>
          <w:rFonts w:ascii="Times New Roman" w:eastAsia="Times New Roman" w:hAnsi="Times New Roman" w:cs="Times New Roman"/>
          <w:color w:val="222222"/>
          <w:sz w:val="24"/>
          <w:szCs w:val="24"/>
        </w:rPr>
        <w:t>  Even with the changes under the guidance,  not all consumer bankruptcy attorneys will necessarily be interested or able to handle Student Loan Adversary proceedings,  but instead might refer their clients to another attorney to handle this aspect of the case.  The allowance of limited representation by another attorney should be permitted and encouraged,  including by explicitly providing that the student loan attorney is not responsible for the underlying bankruptcy case.</w:t>
      </w:r>
    </w:p>
    <w:p w14:paraId="2A84F47B" w14:textId="77777777" w:rsidR="003B797D" w:rsidRPr="00720615" w:rsidRDefault="003B797D" w:rsidP="003B797D">
      <w:pPr>
        <w:jc w:val="both"/>
        <w:rPr>
          <w:rFonts w:ascii="Times New Roman" w:hAnsi="Times New Roman" w:cs="Times New Roman"/>
          <w:sz w:val="24"/>
          <w:szCs w:val="24"/>
        </w:rPr>
      </w:pPr>
    </w:p>
    <w:sectPr w:rsidR="003B797D" w:rsidRPr="007206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E563D"/>
    <w:multiLevelType w:val="multilevel"/>
    <w:tmpl w:val="3F843B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27589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97D"/>
    <w:rsid w:val="00094C7A"/>
    <w:rsid w:val="00366F69"/>
    <w:rsid w:val="003B797D"/>
    <w:rsid w:val="00720615"/>
    <w:rsid w:val="007F1FF2"/>
    <w:rsid w:val="00875F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E4D84"/>
  <w15:chartTrackingRefBased/>
  <w15:docId w15:val="{3DA91804-EB0C-4DE8-AADC-37B22D3A6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8282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1232</TotalTime>
  <Pages>3</Pages>
  <Words>1118</Words>
  <Characters>6377</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Boltz</dc:creator>
  <cp:keywords/>
  <dc:description/>
  <cp:lastModifiedBy>Kenneth Love</cp:lastModifiedBy>
  <cp:revision>5</cp:revision>
  <dcterms:created xsi:type="dcterms:W3CDTF">2023-01-04T21:23:00Z</dcterms:created>
  <dcterms:modified xsi:type="dcterms:W3CDTF">2023-01-06T12:53:00Z</dcterms:modified>
</cp:coreProperties>
</file>